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B0" w:rsidRP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36"/>
          <w:szCs w:val="36"/>
          <w:lang w:val="en-US"/>
        </w:rPr>
      </w:pPr>
      <w:r>
        <w:rPr>
          <w:b/>
          <w:color w:val="000000"/>
          <w:sz w:val="36"/>
          <w:szCs w:val="36"/>
        </w:rPr>
        <w:t xml:space="preserve">                              </w:t>
      </w:r>
      <w:bookmarkStart w:id="0" w:name="_GoBack"/>
      <w:bookmarkEnd w:id="0"/>
      <w:r w:rsidRPr="00D05BB0">
        <w:rPr>
          <w:b/>
          <w:color w:val="000000"/>
          <w:sz w:val="36"/>
          <w:szCs w:val="36"/>
        </w:rPr>
        <w:t>Эссе</w:t>
      </w:r>
    </w:p>
    <w:p w:rsidR="00D05BB0" w:rsidRP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О</w:t>
      </w:r>
      <w:r w:rsidRPr="00D05BB0">
        <w:rPr>
          <w:b/>
          <w:color w:val="000000"/>
          <w:sz w:val="32"/>
          <w:szCs w:val="32"/>
        </w:rPr>
        <w:t xml:space="preserve"> целесообразности </w:t>
      </w:r>
      <w:r>
        <w:rPr>
          <w:b/>
          <w:color w:val="000000"/>
          <w:sz w:val="32"/>
          <w:szCs w:val="32"/>
        </w:rPr>
        <w:t>деления</w:t>
      </w:r>
      <w:r w:rsidRPr="00D05BB0">
        <w:rPr>
          <w:b/>
          <w:color w:val="000000"/>
          <w:sz w:val="32"/>
          <w:szCs w:val="32"/>
        </w:rPr>
        <w:t xml:space="preserve"> </w:t>
      </w:r>
      <w:proofErr w:type="gramStart"/>
      <w:r w:rsidRPr="00D05BB0">
        <w:rPr>
          <w:b/>
          <w:color w:val="000000"/>
          <w:sz w:val="32"/>
          <w:szCs w:val="32"/>
        </w:rPr>
        <w:t>хозяйственных</w:t>
      </w:r>
      <w:proofErr w:type="gramEnd"/>
      <w:r w:rsidRPr="00D05BB0">
        <w:rPr>
          <w:b/>
          <w:color w:val="000000"/>
          <w:sz w:val="32"/>
          <w:szCs w:val="32"/>
        </w:rPr>
        <w:t xml:space="preserve">     </w:t>
      </w:r>
    </w:p>
    <w:p w:rsidR="00D05BB0" w:rsidRP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</w:t>
      </w:r>
      <w:r w:rsidRPr="00D05BB0">
        <w:rPr>
          <w:b/>
          <w:color w:val="000000"/>
          <w:sz w:val="32"/>
          <w:szCs w:val="32"/>
        </w:rPr>
        <w:t xml:space="preserve">обществ на </w:t>
      </w:r>
      <w:proofErr w:type="gramStart"/>
      <w:r w:rsidRPr="00D05BB0">
        <w:rPr>
          <w:b/>
          <w:color w:val="000000"/>
          <w:sz w:val="32"/>
          <w:szCs w:val="32"/>
        </w:rPr>
        <w:t>публичные</w:t>
      </w:r>
      <w:proofErr w:type="gramEnd"/>
      <w:r w:rsidRPr="00D05BB0">
        <w:rPr>
          <w:b/>
          <w:color w:val="000000"/>
          <w:sz w:val="32"/>
          <w:szCs w:val="32"/>
        </w:rPr>
        <w:t xml:space="preserve"> и непубличные.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</w:p>
    <w:p w:rsidR="00D05BB0" w:rsidRP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рамках реформы гражданского законодательства как основы правового регулирования хозяйственной деятельности произошло вычленение наряду с отношениями собственности (вещными отношениями) и обязательственными отношениями самостоятельной сферы социальных отношений – корпоративных отношений (ст.2 ГК РФ) а также дано новое деление юридических лиц на унитарные организации и «к</w:t>
      </w:r>
      <w:r>
        <w:rPr>
          <w:color w:val="000000"/>
          <w:sz w:val="26"/>
          <w:szCs w:val="26"/>
        </w:rPr>
        <w:t>орпоративные юридические лица».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Корпорации</w:t>
      </w:r>
      <w:r w:rsidRPr="00D05BB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юридические лица, учредители которых обладают правом участия в них и формируют их высший орган управления. Это организация, основанная на началах членства</w:t>
      </w:r>
      <w:r w:rsidRPr="00D05BB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связи с участием в корпоративной организации ее участники приобретают корпоративные  права и обязанности в отношении созданного ими юридического лица, за исключением случаев, предусмотренных настоящим Кодексом.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этом </w:t>
      </w:r>
      <w:r>
        <w:rPr>
          <w:color w:val="000000"/>
          <w:sz w:val="26"/>
          <w:szCs w:val="26"/>
        </w:rPr>
        <w:t>возник вопрос</w:t>
      </w:r>
      <w:r>
        <w:rPr>
          <w:color w:val="000000"/>
          <w:sz w:val="26"/>
          <w:szCs w:val="26"/>
        </w:rPr>
        <w:t xml:space="preserve"> о пределах императивного вмешательства законодательства во внутри корпоративные отношения участников коммерческих корпораций и прежде всего хозяйственных обществ. В каком объеме необходимо императивно регулировать правила внутрикорпоративного поведения, а в какой степени целесообразно предоставить участникам корпорации возможность самим определять правила своего взаимодействия (свобода внутрикорпоративной самоорганизации).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Внутрикорпоративная самоорганизация – возможность устанавливать правила поведения и условия взаимодействия участников корпорации по их усмотрению.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Сторонники максимальной свободы внутрикорпоративной самоорганизации подчеркивают, что хозяйственные общества – это добровольные объединения и логично, что их участники самостоятельно определяют условия своего взаимодействия, которые в наибольшей степени отвечают их интересам. Императивное вмешательство законодательства во внутри корпоративные отношения следует ограничить только определенными, особо значимыми сферами. По их мнению, целесообразно следующее.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Во</w:t>
      </w:r>
      <w:proofErr w:type="gramEnd"/>
      <w:r>
        <w:rPr>
          <w:color w:val="000000"/>
          <w:sz w:val="26"/>
          <w:szCs w:val="26"/>
        </w:rPr>
        <w:t xml:space="preserve"> – первых, увеличить договорные начала в регулировании внутрикорпоративных отношений. Это означает сокращение законодательного регулирования этих отношений и расширение сфер, которые подлежат урегулированию исключительно по усмотрению участников корпорации.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Во – вторых, в сферах, которые подлежат законодательному регулированию, снизить долю императивных норм, которые предписывают однозначные правила поведения, и увеличить долю диспозитивных норм, позволяющих устанавливать правила взаимодействия по усмотрению участников корпорации.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 возражают представители традиционного подхода к регулированию корпоративных отношений. Императивные правила призваны минимизировать негативные последствия фактического неравенства участников хозяйственного оборота, защищая экономически слабых от произвола более сильных. Корпоративные отношения в хозяйственных обществах обладают существенной спецификой по сравнению с классическими общегражданскими правоотношениями. В эти отношения вступают лишь формально равноправные участники. Объединение неравных капиталов дает фактически неравный объем корпоративных прав. Интересы доминирующих участников корпорации преобладают над интересами остальных участников (эффект корпоративного контроля). Доминирующее участие в уставном капитале позволяет им формировать волю юридического лица, которая становится обязательной для всех его участников.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Чрезмерная свобода внутрикорпоративной самоорганизации может привести к тому, что экономически сильные участники навяжут экономически более слабым неконтролирующим участникам такие правила взаимодействия, которые приведут к несоблюдению интересов последних.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Задача законодателя – обеспечить баланс интересов всех участников корпоративных отношений, в том числе и посредством установления обязательных правил их поведения.</w:t>
      </w:r>
    </w:p>
    <w:p w:rsidR="00D05BB0" w:rsidRDefault="00D05BB0" w:rsidP="00D05BB0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Именно поэтому целесообразно было произвести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деление </w:t>
      </w:r>
      <w:r>
        <w:rPr>
          <w:color w:val="000000"/>
          <w:sz w:val="26"/>
          <w:szCs w:val="26"/>
        </w:rPr>
        <w:t xml:space="preserve">хозяйственных обществ на </w:t>
      </w:r>
      <w:proofErr w:type="gramStart"/>
      <w:r>
        <w:rPr>
          <w:color w:val="000000"/>
          <w:sz w:val="26"/>
          <w:szCs w:val="26"/>
        </w:rPr>
        <w:t>публичные</w:t>
      </w:r>
      <w:proofErr w:type="gramEnd"/>
      <w:r>
        <w:rPr>
          <w:color w:val="000000"/>
          <w:sz w:val="26"/>
          <w:szCs w:val="26"/>
        </w:rPr>
        <w:t xml:space="preserve"> и непубличные. Это деление преследует цель установить специальные режимы регулирования внутрикорпоративных отношений для обществ, различающихся количеством участников и характером оборота прав участия в них (акций и долей в уставном капитале ООО).</w:t>
      </w:r>
    </w:p>
    <w:p w:rsidR="00303480" w:rsidRDefault="00303480"/>
    <w:sectPr w:rsidR="0030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8E"/>
    <w:rsid w:val="002C0F21"/>
    <w:rsid w:val="00303480"/>
    <w:rsid w:val="0056138B"/>
    <w:rsid w:val="007066BB"/>
    <w:rsid w:val="00D05BB0"/>
    <w:rsid w:val="00D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 Managa</dc:creator>
  <cp:lastModifiedBy>Raff Managa</cp:lastModifiedBy>
  <cp:revision>2</cp:revision>
  <dcterms:created xsi:type="dcterms:W3CDTF">2017-10-04T18:45:00Z</dcterms:created>
  <dcterms:modified xsi:type="dcterms:W3CDTF">2017-10-04T18:45:00Z</dcterms:modified>
</cp:coreProperties>
</file>