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898" w:rsidRPr="00EB242C" w:rsidRDefault="004A4898" w:rsidP="004A4898">
      <w:pPr>
        <w:widowControl w:val="0"/>
        <w:tabs>
          <w:tab w:val="left" w:pos="900"/>
          <w:tab w:val="left" w:pos="1080"/>
          <w:tab w:val="left" w:pos="5420"/>
        </w:tabs>
        <w:suppressAutoHyphens/>
        <w:snapToGrid w:val="0"/>
        <w:spacing w:after="0" w:line="240" w:lineRule="auto"/>
        <w:jc w:val="center"/>
        <w:rPr>
          <w:rFonts w:ascii="Times New Roman" w:eastAsia="Times New Roman" w:hAnsi="Times New Roman" w:cs="Times New Roman"/>
          <w:color w:val="000000"/>
          <w:sz w:val="28"/>
          <w:szCs w:val="28"/>
          <w:lang w:eastAsia="ru-RU"/>
        </w:rPr>
      </w:pPr>
      <w:r w:rsidRPr="00EB242C">
        <w:rPr>
          <w:rFonts w:ascii="Times New Roman" w:eastAsia="Times New Roman" w:hAnsi="Times New Roman" w:cs="Times New Roman"/>
          <w:color w:val="000000"/>
          <w:sz w:val="28"/>
          <w:szCs w:val="28"/>
          <w:lang w:eastAsia="ru-RU"/>
        </w:rPr>
        <w:t>Федеральное государственное бюджетное образовательное учреждение</w:t>
      </w:r>
    </w:p>
    <w:p w:rsidR="004A4898" w:rsidRPr="00EB242C" w:rsidRDefault="004A4898" w:rsidP="004A4898">
      <w:pPr>
        <w:widowControl w:val="0"/>
        <w:tabs>
          <w:tab w:val="left" w:pos="900"/>
          <w:tab w:val="left" w:pos="1080"/>
          <w:tab w:val="left" w:pos="5420"/>
        </w:tabs>
        <w:suppressAutoHyphens/>
        <w:snapToGrid w:val="0"/>
        <w:spacing w:after="0" w:line="240" w:lineRule="auto"/>
        <w:jc w:val="center"/>
        <w:rPr>
          <w:rFonts w:ascii="Times New Roman" w:eastAsia="Times New Roman" w:hAnsi="Times New Roman" w:cs="Times New Roman"/>
          <w:color w:val="000000"/>
          <w:sz w:val="28"/>
          <w:szCs w:val="28"/>
          <w:lang w:eastAsia="ru-RU"/>
        </w:rPr>
      </w:pPr>
      <w:r w:rsidRPr="00EB242C">
        <w:rPr>
          <w:rFonts w:ascii="Times New Roman" w:eastAsia="Times New Roman" w:hAnsi="Times New Roman" w:cs="Times New Roman"/>
          <w:color w:val="000000"/>
          <w:sz w:val="28"/>
          <w:szCs w:val="28"/>
          <w:lang w:eastAsia="ru-RU"/>
        </w:rPr>
        <w:t>высшего образования</w:t>
      </w:r>
    </w:p>
    <w:p w:rsidR="004A4898" w:rsidRPr="00EB242C" w:rsidRDefault="004A4898" w:rsidP="004A4898">
      <w:pPr>
        <w:widowControl w:val="0"/>
        <w:tabs>
          <w:tab w:val="left" w:pos="900"/>
          <w:tab w:val="left" w:pos="1080"/>
          <w:tab w:val="left" w:pos="5420"/>
        </w:tabs>
        <w:suppressAutoHyphens/>
        <w:snapToGrid w:val="0"/>
        <w:spacing w:after="0" w:line="240" w:lineRule="auto"/>
        <w:jc w:val="center"/>
        <w:rPr>
          <w:rFonts w:ascii="Times New Roman" w:eastAsia="Times New Roman" w:hAnsi="Times New Roman" w:cs="Times New Roman"/>
          <w:color w:val="000000"/>
          <w:sz w:val="28"/>
          <w:szCs w:val="28"/>
          <w:lang w:eastAsia="ru-RU"/>
        </w:rPr>
      </w:pPr>
      <w:r w:rsidRPr="00EB242C">
        <w:rPr>
          <w:rFonts w:ascii="Times New Roman" w:eastAsia="Times New Roman" w:hAnsi="Times New Roman" w:cs="Times New Roman"/>
          <w:color w:val="000000"/>
          <w:sz w:val="28"/>
          <w:szCs w:val="28"/>
          <w:lang w:eastAsia="ru-RU"/>
        </w:rPr>
        <w:t>«Тверской государственный университет»</w:t>
      </w:r>
    </w:p>
    <w:p w:rsidR="004A4898" w:rsidRPr="00EB242C" w:rsidRDefault="004A4898" w:rsidP="004A4898">
      <w:pPr>
        <w:tabs>
          <w:tab w:val="left" w:pos="900"/>
          <w:tab w:val="left" w:pos="1080"/>
        </w:tabs>
        <w:suppressAutoHyphens/>
        <w:spacing w:after="0" w:line="240" w:lineRule="auto"/>
        <w:jc w:val="center"/>
        <w:outlineLvl w:val="2"/>
        <w:rPr>
          <w:rFonts w:ascii="Times New Roman" w:eastAsia="Times New Roman" w:hAnsi="Times New Roman" w:cs="Times New Roman"/>
          <w:sz w:val="28"/>
          <w:szCs w:val="28"/>
          <w:lang w:val="x-none" w:eastAsia="ru-RU"/>
        </w:rPr>
      </w:pPr>
    </w:p>
    <w:p w:rsidR="004A4898" w:rsidRPr="00EB242C" w:rsidRDefault="004A4898" w:rsidP="004A4898">
      <w:pPr>
        <w:tabs>
          <w:tab w:val="left" w:pos="900"/>
          <w:tab w:val="left" w:pos="1080"/>
        </w:tabs>
        <w:suppressAutoHyphens/>
        <w:spacing w:after="0" w:line="240" w:lineRule="auto"/>
        <w:jc w:val="center"/>
        <w:outlineLvl w:val="2"/>
        <w:rPr>
          <w:rFonts w:ascii="Times New Roman" w:eastAsia="Times New Roman" w:hAnsi="Times New Roman" w:cs="Times New Roman"/>
          <w:b/>
          <w:bCs/>
          <w:sz w:val="28"/>
          <w:szCs w:val="28"/>
          <w:lang w:val="x-none" w:eastAsia="ru-RU"/>
        </w:rPr>
      </w:pPr>
      <w:bookmarkStart w:id="0" w:name="_Toc501735898"/>
      <w:bookmarkStart w:id="1" w:name="_Toc501732024"/>
      <w:r w:rsidRPr="00EB242C">
        <w:rPr>
          <w:rFonts w:ascii="Times New Roman" w:eastAsia="Times New Roman" w:hAnsi="Times New Roman" w:cs="Times New Roman"/>
          <w:sz w:val="28"/>
          <w:szCs w:val="28"/>
          <w:lang w:val="x-none" w:eastAsia="ru-RU"/>
        </w:rPr>
        <w:t>Институт экономики и управления</w:t>
      </w:r>
      <w:bookmarkEnd w:id="0"/>
      <w:bookmarkEnd w:id="1"/>
    </w:p>
    <w:p w:rsidR="004A4898" w:rsidRPr="00EB242C" w:rsidRDefault="004A4898" w:rsidP="004A4898">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p>
    <w:p w:rsidR="004A4898" w:rsidRPr="00EB242C" w:rsidRDefault="004A4898" w:rsidP="004A4898">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r w:rsidRPr="00EB242C">
        <w:rPr>
          <w:rFonts w:ascii="Times New Roman" w:eastAsia="Times New Roman" w:hAnsi="Times New Roman" w:cs="Times New Roman"/>
          <w:sz w:val="28"/>
          <w:szCs w:val="28"/>
          <w:lang w:val="x-none" w:eastAsia="ru-RU"/>
        </w:rPr>
        <w:t>Кафедра экономики предприятия и менеджмента</w:t>
      </w:r>
    </w:p>
    <w:p w:rsidR="004A4898" w:rsidRPr="00EB242C" w:rsidRDefault="004A4898" w:rsidP="004A4898">
      <w:pPr>
        <w:tabs>
          <w:tab w:val="left" w:pos="900"/>
          <w:tab w:val="left" w:pos="1080"/>
          <w:tab w:val="left" w:pos="7020"/>
        </w:tabs>
        <w:suppressAutoHyphens/>
        <w:spacing w:after="0" w:line="240" w:lineRule="auto"/>
        <w:jc w:val="center"/>
        <w:rPr>
          <w:rFonts w:ascii="Times New Roman" w:eastAsia="Times New Roman" w:hAnsi="Times New Roman" w:cs="Times New Roman"/>
          <w:sz w:val="28"/>
          <w:szCs w:val="28"/>
          <w:lang w:val="x-none"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sidRPr="00EB242C">
        <w:rPr>
          <w:rFonts w:ascii="Times New Roman" w:eastAsia="Times New Roman" w:hAnsi="Times New Roman" w:cs="Times New Roman"/>
          <w:b/>
          <w:sz w:val="36"/>
          <w:szCs w:val="36"/>
          <w:lang w:eastAsia="ru-RU"/>
        </w:rPr>
        <w:t>Отчет</w:t>
      </w: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sidRPr="00EB242C">
        <w:rPr>
          <w:rFonts w:ascii="Times New Roman" w:eastAsia="Times New Roman" w:hAnsi="Times New Roman" w:cs="Times New Roman"/>
          <w:b/>
          <w:sz w:val="36"/>
          <w:szCs w:val="36"/>
          <w:lang w:eastAsia="ru-RU"/>
        </w:rPr>
        <w:t xml:space="preserve"> по </w:t>
      </w:r>
      <w:r w:rsidR="00EB242C" w:rsidRPr="00EB242C">
        <w:rPr>
          <w:rFonts w:ascii="Times New Roman" w:hAnsi="Times New Roman" w:cs="Times New Roman"/>
          <w:b/>
          <w:sz w:val="36"/>
          <w:szCs w:val="36"/>
        </w:rPr>
        <w:t>производственной практике (НИР)</w:t>
      </w:r>
    </w:p>
    <w:p w:rsidR="004A4898" w:rsidRPr="00EB242C" w:rsidRDefault="00674D25" w:rsidP="004A4898">
      <w:pPr>
        <w:widowControl w:val="0"/>
        <w:tabs>
          <w:tab w:val="left" w:pos="900"/>
          <w:tab w:val="left" w:pos="1080"/>
        </w:tabs>
        <w:suppressAutoHyphens/>
        <w:autoSpaceDE w:val="0"/>
        <w:autoSpaceDN w:val="0"/>
        <w:adjustRightInd w:val="0"/>
        <w:spacing w:after="0" w:line="240" w:lineRule="auto"/>
        <w:ind w:firstLine="567"/>
        <w:jc w:val="center"/>
        <w:rPr>
          <w:rFonts w:ascii="Times New Roman" w:eastAsia="Times New Roman" w:hAnsi="Times New Roman" w:cs="Times New Roman"/>
          <w:sz w:val="36"/>
          <w:szCs w:val="36"/>
          <w:lang w:eastAsia="ru-RU"/>
        </w:rPr>
      </w:pPr>
      <w:r w:rsidRPr="00EB242C">
        <w:rPr>
          <w:rFonts w:ascii="Times New Roman" w:eastAsia="Times New Roman" w:hAnsi="Times New Roman" w:cs="Times New Roman"/>
          <w:b/>
          <w:sz w:val="36"/>
          <w:szCs w:val="36"/>
          <w:lang w:eastAsia="ru-RU"/>
        </w:rPr>
        <w:t>за 3</w:t>
      </w:r>
      <w:r w:rsidR="004A4898" w:rsidRPr="00EB242C">
        <w:rPr>
          <w:rFonts w:ascii="Times New Roman" w:eastAsia="Times New Roman" w:hAnsi="Times New Roman" w:cs="Times New Roman"/>
          <w:b/>
          <w:sz w:val="36"/>
          <w:szCs w:val="36"/>
          <w:lang w:eastAsia="ru-RU"/>
        </w:rPr>
        <w:t xml:space="preserve"> семестр </w:t>
      </w: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r w:rsidRPr="00EB242C">
        <w:rPr>
          <w:rFonts w:ascii="Times New Roman" w:eastAsia="Times New Roman" w:hAnsi="Times New Roman" w:cs="Times New Roman"/>
          <w:spacing w:val="-6"/>
          <w:sz w:val="28"/>
          <w:szCs w:val="28"/>
          <w:lang w:eastAsia="ru-RU"/>
        </w:rPr>
        <w:t>Направление подготовки</w:t>
      </w: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pacing w:val="-6"/>
          <w:sz w:val="28"/>
          <w:szCs w:val="28"/>
          <w:lang w:eastAsia="ru-RU"/>
        </w:rPr>
      </w:pPr>
      <w:r w:rsidRPr="00EB242C">
        <w:rPr>
          <w:rFonts w:ascii="Times New Roman" w:eastAsia="Times New Roman" w:hAnsi="Times New Roman" w:cs="Times New Roman"/>
          <w:bCs/>
          <w:sz w:val="28"/>
          <w:szCs w:val="28"/>
          <w:lang w:eastAsia="ru-RU"/>
        </w:rPr>
        <w:t>38.34.02 МЕНЕДЖМЕНТ</w:t>
      </w: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42C">
        <w:rPr>
          <w:rFonts w:ascii="Times New Roman" w:eastAsia="Times New Roman" w:hAnsi="Times New Roman" w:cs="Times New Roman"/>
          <w:sz w:val="28"/>
          <w:szCs w:val="28"/>
          <w:lang w:eastAsia="ru-RU"/>
        </w:rPr>
        <w:t xml:space="preserve">Магистерская программа </w:t>
      </w: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242C">
        <w:rPr>
          <w:rFonts w:ascii="Times New Roman" w:eastAsia="Times New Roman" w:hAnsi="Times New Roman" w:cs="Times New Roman"/>
          <w:sz w:val="28"/>
          <w:szCs w:val="28"/>
          <w:lang w:eastAsia="ru-RU"/>
        </w:rPr>
        <w:t>Стратегическое и корпоративное управление</w:t>
      </w: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pacing w:val="-8"/>
          <w:sz w:val="28"/>
          <w:szCs w:val="28"/>
          <w:lang w:eastAsia="ru-RU"/>
        </w:rPr>
      </w:pPr>
    </w:p>
    <w:p w:rsidR="004A4898" w:rsidRPr="00EB242C" w:rsidRDefault="004A4898" w:rsidP="004A4898">
      <w:pPr>
        <w:widowControl w:val="0"/>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4898" w:rsidRPr="00EB242C" w:rsidRDefault="004A4898" w:rsidP="004A4898">
      <w:pPr>
        <w:widowControl w:val="0"/>
        <w:shd w:val="clear" w:color="auto" w:fill="FFFFFF"/>
        <w:suppressAutoHyphens/>
        <w:autoSpaceDE w:val="0"/>
        <w:autoSpaceDN w:val="0"/>
        <w:adjustRightInd w:val="0"/>
        <w:spacing w:after="2040" w:line="240" w:lineRule="auto"/>
        <w:jc w:val="center"/>
        <w:rPr>
          <w:rFonts w:ascii="Times New Roman" w:eastAsia="Times New Roman" w:hAnsi="Times New Roman" w:cs="Times New Roman"/>
          <w:spacing w:val="-7"/>
          <w:sz w:val="28"/>
          <w:szCs w:val="28"/>
          <w:lang w:eastAsia="ru-RU"/>
        </w:rPr>
      </w:pPr>
      <w:r w:rsidRPr="00EB242C">
        <w:rPr>
          <w:rFonts w:ascii="Times New Roman" w:eastAsia="Times New Roman" w:hAnsi="Times New Roman" w:cs="Times New Roman"/>
          <w:spacing w:val="-7"/>
          <w:sz w:val="28"/>
          <w:szCs w:val="28"/>
          <w:lang w:eastAsia="ru-RU"/>
        </w:rPr>
        <w:t>Форма обучения очная</w:t>
      </w:r>
      <w:bookmarkStart w:id="2" w:name="_GoBack"/>
      <w:bookmarkEnd w:id="2"/>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r w:rsidRPr="00EB242C">
        <w:rPr>
          <w:rFonts w:ascii="Times New Roman" w:eastAsia="Times New Roman" w:hAnsi="Times New Roman" w:cs="Times New Roman"/>
          <w:color w:val="000000"/>
          <w:sz w:val="28"/>
          <w:szCs w:val="28"/>
          <w:lang w:eastAsia="ru-RU"/>
        </w:rPr>
        <w:t>Обучающ</w:t>
      </w:r>
      <w:r w:rsidR="004A32FB" w:rsidRPr="00EB242C">
        <w:rPr>
          <w:rFonts w:ascii="Times New Roman" w:eastAsia="Times New Roman" w:hAnsi="Times New Roman" w:cs="Times New Roman"/>
          <w:color w:val="000000"/>
          <w:sz w:val="28"/>
          <w:szCs w:val="28"/>
          <w:lang w:eastAsia="ru-RU"/>
        </w:rPr>
        <w:t>ий</w:t>
      </w:r>
      <w:r w:rsidRPr="00EB242C">
        <w:rPr>
          <w:rFonts w:ascii="Times New Roman" w:eastAsia="Times New Roman" w:hAnsi="Times New Roman" w:cs="Times New Roman"/>
          <w:color w:val="000000"/>
          <w:sz w:val="28"/>
          <w:szCs w:val="28"/>
          <w:lang w:eastAsia="ru-RU"/>
        </w:rPr>
        <w:t>ся</w:t>
      </w:r>
    </w:p>
    <w:p w:rsidR="004A4898" w:rsidRDefault="004A4898" w:rsidP="004A4898">
      <w:pPr>
        <w:tabs>
          <w:tab w:val="left" w:pos="900"/>
          <w:tab w:val="left" w:pos="1080"/>
          <w:tab w:val="left" w:pos="7020"/>
        </w:tabs>
        <w:suppressAutoHyphens/>
        <w:spacing w:after="0" w:line="240" w:lineRule="auto"/>
        <w:jc w:val="right"/>
        <w:rPr>
          <w:rFonts w:ascii="Times New Roman" w:eastAsia="Times New Roman" w:hAnsi="Times New Roman" w:cs="Times New Roman"/>
          <w:sz w:val="28"/>
          <w:szCs w:val="28"/>
          <w:lang w:eastAsia="ru-RU"/>
        </w:rPr>
      </w:pPr>
      <w:r w:rsidRPr="00EB242C">
        <w:rPr>
          <w:rFonts w:ascii="Times New Roman" w:eastAsia="Times New Roman" w:hAnsi="Times New Roman" w:cs="Times New Roman"/>
          <w:sz w:val="28"/>
          <w:szCs w:val="28"/>
          <w:lang w:eastAsia="ru-RU"/>
        </w:rPr>
        <w:t>Беляков Кирилл Алексеевич</w:t>
      </w:r>
    </w:p>
    <w:p w:rsidR="00EB242C" w:rsidRPr="00EB242C" w:rsidRDefault="00EB242C" w:rsidP="004A4898">
      <w:pPr>
        <w:tabs>
          <w:tab w:val="left" w:pos="900"/>
          <w:tab w:val="left" w:pos="1080"/>
          <w:tab w:val="left" w:pos="7020"/>
        </w:tabs>
        <w:suppressAutoHyphens/>
        <w:spacing w:after="0" w:line="240" w:lineRule="auto"/>
        <w:jc w:val="right"/>
        <w:rPr>
          <w:rFonts w:ascii="Times New Roman" w:eastAsia="Times New Roman" w:hAnsi="Times New Roman" w:cs="Times New Roman"/>
          <w:sz w:val="28"/>
          <w:szCs w:val="28"/>
          <w:vertAlign w:val="superscript"/>
          <w:lang w:eastAsia="ru-RU"/>
        </w:rPr>
      </w:pPr>
    </w:p>
    <w:p w:rsidR="004A4898" w:rsidRPr="00EB242C" w:rsidRDefault="004A4898" w:rsidP="004A4898">
      <w:pPr>
        <w:widowControl w:val="0"/>
        <w:tabs>
          <w:tab w:val="left" w:pos="900"/>
          <w:tab w:val="left" w:pos="1080"/>
        </w:tabs>
        <w:suppressAutoHyphens/>
        <w:autoSpaceDE w:val="0"/>
        <w:autoSpaceDN w:val="0"/>
        <w:adjustRightInd w:val="0"/>
        <w:spacing w:after="0" w:line="240" w:lineRule="auto"/>
        <w:ind w:firstLine="567"/>
        <w:jc w:val="right"/>
        <w:rPr>
          <w:rFonts w:ascii="Times New Roman" w:eastAsia="Times New Roman" w:hAnsi="Times New Roman" w:cs="Times New Roman"/>
          <w:color w:val="000000"/>
          <w:sz w:val="28"/>
          <w:szCs w:val="28"/>
          <w:lang w:eastAsia="ru-RU"/>
        </w:rPr>
      </w:pPr>
    </w:p>
    <w:p w:rsidR="004A4898" w:rsidRPr="00EB242C" w:rsidRDefault="007A4A8B" w:rsidP="004A4898">
      <w:pPr>
        <w:tabs>
          <w:tab w:val="left" w:pos="900"/>
          <w:tab w:val="left" w:pos="1080"/>
          <w:tab w:val="left" w:pos="7020"/>
        </w:tabs>
        <w:suppressAutoHyphens/>
        <w:spacing w:after="0" w:line="240" w:lineRule="auto"/>
        <w:jc w:val="both"/>
        <w:rPr>
          <w:rFonts w:ascii="Times New Roman" w:eastAsia="Times New Roman" w:hAnsi="Times New Roman" w:cs="Times New Roman"/>
          <w:b/>
          <w:sz w:val="28"/>
          <w:szCs w:val="28"/>
          <w:lang w:val="x-none" w:eastAsia="ru-RU"/>
        </w:rPr>
      </w:pPr>
      <w:r w:rsidRPr="00EB242C">
        <w:rPr>
          <w:rFonts w:ascii="Times New Roman" w:eastAsia="Times New Roman" w:hAnsi="Times New Roman" w:cs="Times New Roman"/>
          <w:b/>
          <w:sz w:val="28"/>
          <w:szCs w:val="28"/>
          <w:lang w:eastAsia="ru-RU"/>
        </w:rPr>
        <w:t>Р</w:t>
      </w:r>
      <w:proofErr w:type="spellStart"/>
      <w:r w:rsidR="004A4898" w:rsidRPr="00EB242C">
        <w:rPr>
          <w:rFonts w:ascii="Times New Roman" w:eastAsia="Times New Roman" w:hAnsi="Times New Roman" w:cs="Times New Roman"/>
          <w:b/>
          <w:sz w:val="28"/>
          <w:szCs w:val="28"/>
          <w:lang w:val="x-none" w:eastAsia="ru-RU"/>
        </w:rPr>
        <w:t>уководитель</w:t>
      </w:r>
      <w:proofErr w:type="spellEnd"/>
      <w:r w:rsidR="004A4898" w:rsidRPr="00EB242C">
        <w:rPr>
          <w:rFonts w:ascii="Times New Roman" w:eastAsia="Times New Roman" w:hAnsi="Times New Roman" w:cs="Times New Roman"/>
          <w:b/>
          <w:sz w:val="28"/>
          <w:szCs w:val="28"/>
          <w:lang w:val="x-none" w:eastAsia="ru-RU"/>
        </w:rPr>
        <w:t xml:space="preserve">: </w:t>
      </w:r>
    </w:p>
    <w:p w:rsidR="00EB242C" w:rsidRPr="00EB242C" w:rsidRDefault="004A4898" w:rsidP="004A4898">
      <w:pPr>
        <w:tabs>
          <w:tab w:val="left" w:pos="900"/>
          <w:tab w:val="left" w:pos="1080"/>
          <w:tab w:val="left" w:pos="7020"/>
        </w:tabs>
        <w:suppressAutoHyphens/>
        <w:spacing w:after="1560" w:line="240" w:lineRule="auto"/>
        <w:jc w:val="both"/>
        <w:rPr>
          <w:rFonts w:ascii="Times New Roman" w:eastAsia="Times New Roman" w:hAnsi="Times New Roman" w:cs="Times New Roman"/>
          <w:sz w:val="28"/>
          <w:szCs w:val="28"/>
          <w:lang w:val="x-none" w:eastAsia="ru-RU"/>
        </w:rPr>
      </w:pPr>
      <w:proofErr w:type="spellStart"/>
      <w:r w:rsidRPr="00EB242C">
        <w:rPr>
          <w:rFonts w:ascii="Times New Roman" w:eastAsia="Times New Roman" w:hAnsi="Times New Roman" w:cs="Times New Roman"/>
          <w:sz w:val="28"/>
          <w:szCs w:val="28"/>
          <w:lang w:eastAsia="ru-RU"/>
        </w:rPr>
        <w:t>Генг</w:t>
      </w:r>
      <w:proofErr w:type="spellEnd"/>
      <w:r w:rsidRPr="00EB242C">
        <w:rPr>
          <w:rFonts w:ascii="Times New Roman" w:eastAsia="Times New Roman" w:hAnsi="Times New Roman" w:cs="Times New Roman"/>
          <w:sz w:val="28"/>
          <w:szCs w:val="28"/>
          <w:lang w:eastAsia="ru-RU"/>
        </w:rPr>
        <w:t xml:space="preserve"> В.А.</w:t>
      </w:r>
      <w:r w:rsidRPr="00EB242C">
        <w:rPr>
          <w:rFonts w:ascii="Times New Roman" w:eastAsia="Times New Roman" w:hAnsi="Times New Roman" w:cs="Times New Roman"/>
          <w:sz w:val="28"/>
          <w:szCs w:val="28"/>
          <w:lang w:val="x-none" w:eastAsia="ru-RU"/>
        </w:rPr>
        <w:t xml:space="preserve">, </w:t>
      </w:r>
      <w:r w:rsidRPr="00EB242C">
        <w:rPr>
          <w:rFonts w:ascii="Times New Roman" w:eastAsia="Times New Roman" w:hAnsi="Times New Roman" w:cs="Times New Roman"/>
          <w:sz w:val="28"/>
          <w:szCs w:val="28"/>
          <w:lang w:eastAsia="ru-RU"/>
        </w:rPr>
        <w:t>к</w:t>
      </w:r>
      <w:r w:rsidRPr="00EB242C">
        <w:rPr>
          <w:rFonts w:ascii="Times New Roman" w:eastAsia="Times New Roman" w:hAnsi="Times New Roman" w:cs="Times New Roman"/>
          <w:sz w:val="28"/>
          <w:szCs w:val="28"/>
          <w:lang w:val="x-none" w:eastAsia="ru-RU"/>
        </w:rPr>
        <w:t>.</w:t>
      </w:r>
      <w:proofErr w:type="spellStart"/>
      <w:r w:rsidRPr="00EB242C">
        <w:rPr>
          <w:rFonts w:ascii="Times New Roman" w:eastAsia="Times New Roman" w:hAnsi="Times New Roman" w:cs="Times New Roman"/>
          <w:sz w:val="28"/>
          <w:szCs w:val="28"/>
          <w:lang w:val="x-none" w:eastAsia="ru-RU"/>
        </w:rPr>
        <w:t>э.н</w:t>
      </w:r>
      <w:proofErr w:type="spellEnd"/>
      <w:r w:rsidRPr="00EB242C">
        <w:rPr>
          <w:rFonts w:ascii="Times New Roman" w:eastAsia="Times New Roman" w:hAnsi="Times New Roman" w:cs="Times New Roman"/>
          <w:sz w:val="28"/>
          <w:szCs w:val="28"/>
          <w:lang w:val="x-none" w:eastAsia="ru-RU"/>
        </w:rPr>
        <w:t>., доцент</w:t>
      </w:r>
    </w:p>
    <w:p w:rsidR="004A4898" w:rsidRPr="004A4898" w:rsidRDefault="004A4898" w:rsidP="004A489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1"/>
          <w:sz w:val="28"/>
          <w:szCs w:val="28"/>
          <w:lang w:eastAsia="ru-RU"/>
        </w:rPr>
      </w:pPr>
      <w:r w:rsidRPr="004A4898">
        <w:rPr>
          <w:rFonts w:ascii="Times New Roman" w:eastAsia="Times New Roman" w:hAnsi="Times New Roman" w:cs="Times New Roman"/>
          <w:color w:val="000000"/>
          <w:spacing w:val="-1"/>
          <w:sz w:val="28"/>
          <w:szCs w:val="28"/>
          <w:lang w:eastAsia="ru-RU"/>
        </w:rPr>
        <w:t>Тверь 2017</w:t>
      </w:r>
    </w:p>
    <w:p w:rsidR="004A4898" w:rsidRDefault="004A4898" w:rsidP="004A4898">
      <w:pPr>
        <w:rPr>
          <w:rFonts w:ascii="Times New Roman" w:hAnsi="Times New Roman" w:cs="Times New Roman"/>
          <w:sz w:val="28"/>
        </w:rPr>
      </w:pPr>
    </w:p>
    <w:p w:rsidR="004A4898" w:rsidRDefault="004A4898" w:rsidP="004A4898">
      <w:pPr>
        <w:jc w:val="center"/>
        <w:rPr>
          <w:rFonts w:ascii="Times New Roman" w:hAnsi="Times New Roman" w:cs="Times New Roman"/>
          <w:b/>
          <w:sz w:val="28"/>
        </w:rPr>
      </w:pPr>
      <w:r>
        <w:rPr>
          <w:rFonts w:ascii="Times New Roman" w:hAnsi="Times New Roman" w:cs="Times New Roman"/>
          <w:b/>
          <w:sz w:val="28"/>
        </w:rPr>
        <w:t>СОДЕРЖАНИЕ</w:t>
      </w:r>
    </w:p>
    <w:p w:rsidR="004A4898" w:rsidRDefault="004A4898" w:rsidP="004A4898">
      <w:pPr>
        <w:rPr>
          <w:rFonts w:ascii="Times New Roman" w:hAnsi="Times New Roman" w:cs="Times New Roman"/>
          <w:b/>
          <w:sz w:val="28"/>
        </w:rPr>
      </w:pPr>
    </w:p>
    <w:p w:rsidR="004A4898" w:rsidRDefault="004A4898" w:rsidP="004A4898">
      <w:pPr>
        <w:rPr>
          <w:rFonts w:ascii="Times New Roman" w:hAnsi="Times New Roman" w:cs="Times New Roman"/>
          <w:sz w:val="28"/>
        </w:rPr>
      </w:pPr>
      <w:r>
        <w:rPr>
          <w:rFonts w:ascii="Times New Roman" w:hAnsi="Times New Roman" w:cs="Times New Roman"/>
          <w:sz w:val="28"/>
        </w:rPr>
        <w:t>1.</w:t>
      </w:r>
      <w:r w:rsidR="00E02AB6" w:rsidRPr="00E02AB6">
        <w:t xml:space="preserve"> </w:t>
      </w:r>
      <w:r w:rsidR="00E02AB6" w:rsidRPr="00E02AB6">
        <w:rPr>
          <w:rFonts w:ascii="Times New Roman" w:hAnsi="Times New Roman" w:cs="Times New Roman"/>
          <w:sz w:val="28"/>
        </w:rPr>
        <w:t xml:space="preserve">Участие в международной научно-практической конференции «НАУКА СЕГОДНЯ: ИСТОРИЯ И СОВРЕМЕННОСТЬ» с докладом на тему «Тенденции развития государственно-частного партнерства в сфере </w:t>
      </w:r>
      <w:proofErr w:type="gramStart"/>
      <w:r w:rsidR="00E02AB6" w:rsidRPr="00E02AB6">
        <w:rPr>
          <w:rFonts w:ascii="Times New Roman" w:hAnsi="Times New Roman" w:cs="Times New Roman"/>
          <w:sz w:val="28"/>
        </w:rPr>
        <w:t>образования»</w:t>
      </w:r>
      <w:r w:rsidR="00FA62C0">
        <w:rPr>
          <w:rFonts w:ascii="Times New Roman" w:hAnsi="Times New Roman" w:cs="Times New Roman"/>
          <w:sz w:val="28"/>
        </w:rPr>
        <w:t>…</w:t>
      </w:r>
      <w:proofErr w:type="gramEnd"/>
      <w:r w:rsidR="00FA62C0">
        <w:rPr>
          <w:rFonts w:ascii="Times New Roman" w:hAnsi="Times New Roman" w:cs="Times New Roman"/>
          <w:sz w:val="28"/>
        </w:rPr>
        <w:t>………………………………………………………………</w:t>
      </w:r>
      <w:r w:rsidR="00A90B32">
        <w:rPr>
          <w:rFonts w:ascii="Times New Roman" w:hAnsi="Times New Roman" w:cs="Times New Roman"/>
          <w:sz w:val="28"/>
        </w:rPr>
        <w:t>………..</w:t>
      </w:r>
      <w:r w:rsidR="00FA62C0">
        <w:rPr>
          <w:rFonts w:ascii="Times New Roman" w:hAnsi="Times New Roman" w:cs="Times New Roman"/>
          <w:sz w:val="28"/>
        </w:rPr>
        <w:t>…..3</w:t>
      </w:r>
    </w:p>
    <w:p w:rsidR="001902E2" w:rsidRDefault="004A4898" w:rsidP="004A4898">
      <w:pPr>
        <w:rPr>
          <w:rFonts w:ascii="Times New Roman" w:hAnsi="Times New Roman" w:cs="Times New Roman"/>
          <w:sz w:val="28"/>
        </w:rPr>
      </w:pPr>
      <w:r>
        <w:rPr>
          <w:rFonts w:ascii="Times New Roman" w:hAnsi="Times New Roman" w:cs="Times New Roman"/>
          <w:sz w:val="28"/>
        </w:rPr>
        <w:t xml:space="preserve">2. </w:t>
      </w:r>
      <w:r w:rsidR="001902E2">
        <w:rPr>
          <w:rFonts w:ascii="Times New Roman" w:hAnsi="Times New Roman" w:cs="Times New Roman"/>
          <w:sz w:val="28"/>
        </w:rPr>
        <w:t>Библиографический список</w:t>
      </w:r>
      <w:r w:rsidR="00FA62C0">
        <w:rPr>
          <w:rFonts w:ascii="Times New Roman" w:hAnsi="Times New Roman" w:cs="Times New Roman"/>
          <w:sz w:val="28"/>
        </w:rPr>
        <w:t>……………………………………………………</w:t>
      </w:r>
      <w:r w:rsidR="00A90B32">
        <w:rPr>
          <w:rFonts w:ascii="Times New Roman" w:hAnsi="Times New Roman" w:cs="Times New Roman"/>
          <w:sz w:val="28"/>
        </w:rPr>
        <w:t>………8</w:t>
      </w: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Default="0022696B" w:rsidP="004A4898">
      <w:pPr>
        <w:rPr>
          <w:rFonts w:ascii="Times New Roman" w:hAnsi="Times New Roman" w:cs="Times New Roman"/>
          <w:sz w:val="28"/>
        </w:rPr>
      </w:pPr>
    </w:p>
    <w:p w:rsidR="0022696B" w:rsidRPr="007F23AF" w:rsidRDefault="0022696B" w:rsidP="00A90B32">
      <w:pPr>
        <w:spacing w:line="360" w:lineRule="auto"/>
        <w:jc w:val="both"/>
        <w:rPr>
          <w:rFonts w:ascii="Times New Roman" w:hAnsi="Times New Roman" w:cs="Times New Roman"/>
          <w:sz w:val="28"/>
          <w:szCs w:val="28"/>
        </w:rPr>
      </w:pPr>
      <w:r w:rsidRPr="0022696B">
        <w:rPr>
          <w:rFonts w:ascii="Times New Roman" w:hAnsi="Times New Roman" w:cs="Times New Roman"/>
          <w:b/>
          <w:sz w:val="28"/>
          <w:szCs w:val="28"/>
        </w:rPr>
        <w:t>1. Участие в международной н</w:t>
      </w:r>
      <w:r>
        <w:rPr>
          <w:rFonts w:ascii="Times New Roman" w:hAnsi="Times New Roman" w:cs="Times New Roman"/>
          <w:b/>
          <w:sz w:val="28"/>
          <w:szCs w:val="28"/>
        </w:rPr>
        <w:t>аучно-практической конференции «</w:t>
      </w:r>
      <w:r w:rsidRPr="0022696B">
        <w:rPr>
          <w:rFonts w:ascii="Times New Roman" w:hAnsi="Times New Roman" w:cs="Times New Roman"/>
          <w:b/>
          <w:sz w:val="28"/>
          <w:szCs w:val="28"/>
        </w:rPr>
        <w:t>НАУКА СЕГОДНЯ: ИСТОРИЯ И СОВРЕМЕННОСТЬ</w:t>
      </w:r>
      <w:r>
        <w:rPr>
          <w:rFonts w:ascii="Times New Roman" w:hAnsi="Times New Roman" w:cs="Times New Roman"/>
          <w:b/>
          <w:sz w:val="28"/>
          <w:szCs w:val="28"/>
        </w:rPr>
        <w:t>»</w:t>
      </w:r>
      <w:r w:rsidRPr="0022696B">
        <w:rPr>
          <w:rFonts w:ascii="Times New Roman" w:hAnsi="Times New Roman" w:cs="Times New Roman"/>
          <w:b/>
          <w:sz w:val="28"/>
          <w:szCs w:val="28"/>
        </w:rPr>
        <w:t xml:space="preserve"> с докладом на тему «Тенденции развития государственно-частного партнерства в сфере образования»</w:t>
      </w:r>
      <w:r>
        <w:rPr>
          <w:rFonts w:ascii="Times New Roman" w:hAnsi="Times New Roman" w:cs="Times New Roman"/>
          <w:b/>
          <w:sz w:val="28"/>
          <w:szCs w:val="28"/>
        </w:rPr>
        <w:br/>
      </w:r>
    </w:p>
    <w:p w:rsidR="0022696B" w:rsidRPr="00E02AB6" w:rsidRDefault="0022696B" w:rsidP="00A90B32">
      <w:pPr>
        <w:spacing w:line="360" w:lineRule="auto"/>
        <w:jc w:val="both"/>
        <w:rPr>
          <w:rFonts w:ascii="Times New Roman" w:hAnsi="Times New Roman" w:cs="Times New Roman"/>
          <w:i/>
          <w:sz w:val="28"/>
          <w:szCs w:val="28"/>
        </w:rPr>
      </w:pPr>
      <w:r>
        <w:rPr>
          <w:rFonts w:ascii="Times New Roman" w:hAnsi="Times New Roman" w:cs="Times New Roman"/>
          <w:b/>
          <w:sz w:val="24"/>
          <w:szCs w:val="28"/>
        </w:rPr>
        <w:t xml:space="preserve"> </w:t>
      </w:r>
      <w:r>
        <w:rPr>
          <w:rFonts w:ascii="Times New Roman" w:hAnsi="Times New Roman" w:cs="Times New Roman"/>
          <w:b/>
          <w:sz w:val="24"/>
          <w:szCs w:val="28"/>
        </w:rPr>
        <w:tab/>
      </w:r>
      <w:r>
        <w:rPr>
          <w:rFonts w:ascii="Times New Roman" w:hAnsi="Times New Roman" w:cs="Times New Roman"/>
          <w:sz w:val="24"/>
          <w:szCs w:val="28"/>
        </w:rPr>
        <w:t xml:space="preserve">В </w:t>
      </w:r>
      <w:r w:rsidRPr="00B46306">
        <w:rPr>
          <w:rFonts w:ascii="Times New Roman" w:hAnsi="Times New Roman" w:cs="Times New Roman"/>
          <w:sz w:val="24"/>
          <w:szCs w:val="28"/>
        </w:rPr>
        <w:t>статье рассмотрены тенденции развития государственно-частного партнерства в сфере образования России.  Определены</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факторы</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роста</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достоинства</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и</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недостатки</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ГЧП</w:t>
      </w:r>
      <w:r w:rsidRPr="00C43E6D">
        <w:rPr>
          <w:rFonts w:ascii="Times New Roman" w:hAnsi="Times New Roman" w:cs="Times New Roman"/>
          <w:sz w:val="24"/>
          <w:szCs w:val="28"/>
        </w:rPr>
        <w:t>.</w:t>
      </w:r>
      <w:r w:rsidRPr="00C43E6D">
        <w:rPr>
          <w:rFonts w:ascii="Times New Roman" w:hAnsi="Times New Roman" w:cs="Times New Roman"/>
          <w:b/>
          <w:sz w:val="24"/>
          <w:szCs w:val="28"/>
        </w:rPr>
        <w:br/>
      </w:r>
      <w:r>
        <w:rPr>
          <w:rFonts w:ascii="Times New Roman" w:hAnsi="Times New Roman" w:cs="Times New Roman"/>
          <w:sz w:val="24"/>
          <w:szCs w:val="28"/>
        </w:rPr>
        <w:t xml:space="preserve"> </w:t>
      </w:r>
      <w:r>
        <w:rPr>
          <w:rFonts w:ascii="Times New Roman" w:hAnsi="Times New Roman" w:cs="Times New Roman"/>
          <w:sz w:val="24"/>
          <w:szCs w:val="28"/>
        </w:rPr>
        <w:tab/>
        <w:t>Г</w:t>
      </w:r>
      <w:r w:rsidRPr="00B46306">
        <w:rPr>
          <w:rFonts w:ascii="Times New Roman" w:hAnsi="Times New Roman" w:cs="Times New Roman"/>
          <w:sz w:val="24"/>
          <w:szCs w:val="28"/>
        </w:rPr>
        <w:t>осударственно</w:t>
      </w:r>
      <w:r w:rsidRPr="00C43E6D">
        <w:rPr>
          <w:rFonts w:ascii="Times New Roman" w:hAnsi="Times New Roman" w:cs="Times New Roman"/>
          <w:sz w:val="24"/>
          <w:szCs w:val="28"/>
        </w:rPr>
        <w:t>-</w:t>
      </w:r>
      <w:r w:rsidRPr="00B46306">
        <w:rPr>
          <w:rFonts w:ascii="Times New Roman" w:hAnsi="Times New Roman" w:cs="Times New Roman"/>
          <w:sz w:val="24"/>
          <w:szCs w:val="28"/>
        </w:rPr>
        <w:t>частное</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партнерство</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образование</w:t>
      </w:r>
      <w:r w:rsidRPr="00C43E6D">
        <w:rPr>
          <w:rFonts w:ascii="Times New Roman" w:hAnsi="Times New Roman" w:cs="Times New Roman"/>
          <w:sz w:val="24"/>
          <w:szCs w:val="28"/>
        </w:rPr>
        <w:t xml:space="preserve">, </w:t>
      </w:r>
      <w:r w:rsidRPr="00B46306">
        <w:rPr>
          <w:rFonts w:ascii="Times New Roman" w:hAnsi="Times New Roman" w:cs="Times New Roman"/>
          <w:sz w:val="24"/>
          <w:szCs w:val="28"/>
        </w:rPr>
        <w:t>ГЧП</w:t>
      </w:r>
      <w:r w:rsidRPr="00C43E6D">
        <w:rPr>
          <w:rFonts w:ascii="Times New Roman" w:hAnsi="Times New Roman" w:cs="Times New Roman"/>
          <w:sz w:val="24"/>
          <w:szCs w:val="28"/>
        </w:rPr>
        <w:t>.</w:t>
      </w:r>
      <w:r w:rsidRPr="00C43E6D">
        <w:rPr>
          <w:rFonts w:ascii="Times New Roman" w:hAnsi="Times New Roman" w:cs="Times New Roman"/>
          <w:sz w:val="24"/>
          <w:szCs w:val="28"/>
        </w:rPr>
        <w:br/>
      </w:r>
    </w:p>
    <w:p w:rsidR="0022696B" w:rsidRPr="0012264A" w:rsidRDefault="0022696B" w:rsidP="00A90B32">
      <w:pPr>
        <w:spacing w:line="360" w:lineRule="auto"/>
        <w:jc w:val="both"/>
        <w:rPr>
          <w:rFonts w:ascii="Times New Roman" w:hAnsi="Times New Roman" w:cs="Times New Roman"/>
          <w:sz w:val="24"/>
          <w:szCs w:val="28"/>
        </w:rPr>
      </w:pPr>
      <w:r w:rsidRPr="00674D25">
        <w:rPr>
          <w:rFonts w:ascii="Times New Roman" w:hAnsi="Times New Roman" w:cs="Times New Roman"/>
          <w:b/>
          <w:sz w:val="24"/>
          <w:szCs w:val="28"/>
        </w:rPr>
        <w:t xml:space="preserve"> </w:t>
      </w:r>
      <w:r w:rsidRPr="00674D25">
        <w:rPr>
          <w:rFonts w:ascii="Times New Roman" w:hAnsi="Times New Roman" w:cs="Times New Roman"/>
          <w:b/>
          <w:sz w:val="24"/>
          <w:szCs w:val="28"/>
        </w:rPr>
        <w:tab/>
      </w:r>
      <w:r w:rsidRPr="00B46306">
        <w:rPr>
          <w:rFonts w:ascii="Times New Roman" w:hAnsi="Times New Roman" w:cs="Times New Roman"/>
          <w:sz w:val="24"/>
          <w:szCs w:val="28"/>
          <w:lang w:val="en-US"/>
        </w:rPr>
        <w:t xml:space="preserve">In this article, the trends of the development of private-public partnership in the educational sphere in Russia </w:t>
      </w:r>
      <w:proofErr w:type="gramStart"/>
      <w:r w:rsidRPr="00B46306">
        <w:rPr>
          <w:rFonts w:ascii="Times New Roman" w:hAnsi="Times New Roman" w:cs="Times New Roman"/>
          <w:sz w:val="24"/>
          <w:szCs w:val="28"/>
          <w:lang w:val="en-US"/>
        </w:rPr>
        <w:t>are observed</w:t>
      </w:r>
      <w:proofErr w:type="gramEnd"/>
      <w:r w:rsidRPr="00B46306">
        <w:rPr>
          <w:rFonts w:ascii="Times New Roman" w:hAnsi="Times New Roman" w:cs="Times New Roman"/>
          <w:sz w:val="24"/>
          <w:szCs w:val="28"/>
          <w:lang w:val="en-US"/>
        </w:rPr>
        <w:t xml:space="preserve">. The </w:t>
      </w:r>
      <w:proofErr w:type="gramStart"/>
      <w:r w:rsidRPr="00B46306">
        <w:rPr>
          <w:rFonts w:ascii="Times New Roman" w:hAnsi="Times New Roman" w:cs="Times New Roman"/>
          <w:sz w:val="24"/>
          <w:szCs w:val="28"/>
          <w:lang w:val="en-US"/>
        </w:rPr>
        <w:t>growth-factors</w:t>
      </w:r>
      <w:proofErr w:type="gramEnd"/>
      <w:r w:rsidRPr="00B46306">
        <w:rPr>
          <w:rFonts w:ascii="Times New Roman" w:hAnsi="Times New Roman" w:cs="Times New Roman"/>
          <w:sz w:val="24"/>
          <w:szCs w:val="28"/>
          <w:lang w:val="en-US"/>
        </w:rPr>
        <w:t>, advantages and disadvantages of PPP are defined.</w:t>
      </w:r>
      <w:r w:rsidRPr="0046581D">
        <w:rPr>
          <w:rFonts w:ascii="Times New Roman" w:hAnsi="Times New Roman" w:cs="Times New Roman"/>
          <w:sz w:val="24"/>
          <w:szCs w:val="28"/>
          <w:lang w:val="en-US"/>
        </w:rPr>
        <w:br/>
      </w:r>
      <w:r w:rsidRPr="00B46306">
        <w:rPr>
          <w:rFonts w:ascii="Times New Roman" w:hAnsi="Times New Roman" w:cs="Times New Roman"/>
          <w:sz w:val="24"/>
          <w:szCs w:val="28"/>
          <w:lang w:val="en-US"/>
        </w:rPr>
        <w:t xml:space="preserve"> </w:t>
      </w:r>
      <w:r w:rsidRPr="00F943EB">
        <w:rPr>
          <w:rFonts w:ascii="Times New Roman" w:hAnsi="Times New Roman" w:cs="Times New Roman"/>
          <w:sz w:val="24"/>
          <w:szCs w:val="28"/>
          <w:lang w:val="en-US"/>
        </w:rPr>
        <w:t xml:space="preserve"> </w:t>
      </w:r>
      <w:r w:rsidRPr="00F943EB">
        <w:rPr>
          <w:rFonts w:ascii="Times New Roman" w:hAnsi="Times New Roman" w:cs="Times New Roman"/>
          <w:sz w:val="24"/>
          <w:szCs w:val="28"/>
          <w:lang w:val="en-US"/>
        </w:rPr>
        <w:tab/>
      </w:r>
      <w:r w:rsidRPr="00B46306">
        <w:rPr>
          <w:rFonts w:ascii="Times New Roman" w:hAnsi="Times New Roman" w:cs="Times New Roman"/>
          <w:sz w:val="24"/>
          <w:szCs w:val="28"/>
          <w:lang w:val="en-US"/>
        </w:rPr>
        <w:t>Private</w:t>
      </w:r>
      <w:r w:rsidRPr="0012264A">
        <w:rPr>
          <w:rFonts w:ascii="Times New Roman" w:hAnsi="Times New Roman" w:cs="Times New Roman"/>
          <w:sz w:val="24"/>
          <w:szCs w:val="28"/>
        </w:rPr>
        <w:t>-</w:t>
      </w:r>
      <w:r w:rsidRPr="00B46306">
        <w:rPr>
          <w:rFonts w:ascii="Times New Roman" w:hAnsi="Times New Roman" w:cs="Times New Roman"/>
          <w:sz w:val="24"/>
          <w:szCs w:val="28"/>
          <w:lang w:val="en-US"/>
        </w:rPr>
        <w:t>public</w:t>
      </w:r>
      <w:r w:rsidRPr="0012264A">
        <w:rPr>
          <w:rFonts w:ascii="Times New Roman" w:hAnsi="Times New Roman" w:cs="Times New Roman"/>
          <w:sz w:val="24"/>
          <w:szCs w:val="28"/>
        </w:rPr>
        <w:t xml:space="preserve"> </w:t>
      </w:r>
      <w:r w:rsidRPr="00B46306">
        <w:rPr>
          <w:rFonts w:ascii="Times New Roman" w:hAnsi="Times New Roman" w:cs="Times New Roman"/>
          <w:sz w:val="24"/>
          <w:szCs w:val="28"/>
          <w:lang w:val="en-US"/>
        </w:rPr>
        <w:t>partnership</w:t>
      </w:r>
      <w:r w:rsidRPr="0012264A">
        <w:rPr>
          <w:rFonts w:ascii="Times New Roman" w:hAnsi="Times New Roman" w:cs="Times New Roman"/>
          <w:sz w:val="24"/>
          <w:szCs w:val="28"/>
        </w:rPr>
        <w:t xml:space="preserve">, </w:t>
      </w:r>
      <w:r w:rsidRPr="00B46306">
        <w:rPr>
          <w:rFonts w:ascii="Times New Roman" w:hAnsi="Times New Roman" w:cs="Times New Roman"/>
          <w:sz w:val="24"/>
          <w:szCs w:val="28"/>
          <w:lang w:val="en-US"/>
        </w:rPr>
        <w:t>education</w:t>
      </w:r>
      <w:r w:rsidRPr="0012264A">
        <w:rPr>
          <w:rFonts w:ascii="Times New Roman" w:hAnsi="Times New Roman" w:cs="Times New Roman"/>
          <w:sz w:val="24"/>
          <w:szCs w:val="28"/>
        </w:rPr>
        <w:t xml:space="preserve">, </w:t>
      </w:r>
      <w:r w:rsidRPr="00B46306">
        <w:rPr>
          <w:rFonts w:ascii="Times New Roman" w:hAnsi="Times New Roman" w:cs="Times New Roman"/>
          <w:sz w:val="24"/>
          <w:szCs w:val="28"/>
          <w:lang w:val="en-US"/>
        </w:rPr>
        <w:t>PPP</w:t>
      </w:r>
      <w:r w:rsidRPr="0012264A">
        <w:rPr>
          <w:rFonts w:ascii="Times New Roman" w:hAnsi="Times New Roman" w:cs="Times New Roman"/>
          <w:sz w:val="24"/>
          <w:szCs w:val="28"/>
        </w:rPr>
        <w:t>.</w:t>
      </w:r>
    </w:p>
    <w:p w:rsidR="0022696B" w:rsidRPr="0012264A" w:rsidRDefault="0022696B" w:rsidP="00A90B32">
      <w:pPr>
        <w:spacing w:line="360" w:lineRule="auto"/>
        <w:jc w:val="both"/>
        <w:rPr>
          <w:rFonts w:ascii="Times New Roman" w:hAnsi="Times New Roman" w:cs="Times New Roman"/>
          <w:b/>
          <w:sz w:val="28"/>
          <w:szCs w:val="28"/>
        </w:rPr>
      </w:pPr>
    </w:p>
    <w:p w:rsidR="00E02AB6" w:rsidRPr="00C43E6D" w:rsidRDefault="0022696B" w:rsidP="00A90B32">
      <w:pPr>
        <w:spacing w:line="360" w:lineRule="auto"/>
        <w:jc w:val="both"/>
        <w:rPr>
          <w:rFonts w:ascii="Times New Roman" w:hAnsi="Times New Roman" w:cs="Times New Roman"/>
          <w:sz w:val="28"/>
          <w:szCs w:val="28"/>
        </w:rPr>
      </w:pPr>
      <w:r w:rsidRPr="0012264A">
        <w:rPr>
          <w:rFonts w:ascii="Times New Roman" w:hAnsi="Times New Roman" w:cs="Times New Roman"/>
          <w:sz w:val="28"/>
          <w:szCs w:val="28"/>
        </w:rPr>
        <w:tab/>
      </w:r>
      <w:r w:rsidRPr="002C323B">
        <w:rPr>
          <w:rFonts w:ascii="Times New Roman" w:hAnsi="Times New Roman" w:cs="Times New Roman"/>
          <w:sz w:val="28"/>
          <w:szCs w:val="28"/>
        </w:rPr>
        <w:t>С</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развитием</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экономики</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возникает</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проблема</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эффективного</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функционирования</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различных</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сфер</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деятельности</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бизнеса</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и</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государства</w:t>
      </w:r>
      <w:r w:rsidRPr="0012264A">
        <w:rPr>
          <w:rFonts w:ascii="Times New Roman" w:hAnsi="Times New Roman" w:cs="Times New Roman"/>
          <w:sz w:val="28"/>
          <w:szCs w:val="28"/>
        </w:rPr>
        <w:t xml:space="preserve">. </w:t>
      </w:r>
      <w:r w:rsidRPr="002C323B">
        <w:rPr>
          <w:rFonts w:ascii="Times New Roman" w:hAnsi="Times New Roman" w:cs="Times New Roman"/>
          <w:sz w:val="28"/>
          <w:szCs w:val="28"/>
        </w:rPr>
        <w:t>Сложность и высокая стоимость некоторых проектов требует, чтобы государство и бизнес объединяли усилия для удовлетворения общих интересов. Одним из основных направлений решения данной проблемы является создание государственно-частных партнерств, с целью реализации проектов в различных областях экономики, в том числе в сфере образования, о которой пойдет речь далее.</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t>Под государственно-частным партнерством (далее ГЧП), понимается объединение финансовых, технологических, организационно-управленческих, кадровых и иных ресурсов государства и бизнеса при создании и эксплуатации объектов государственной и муниципальной собственности, а также оказании общественно значимых услуг, традиционно закрепленных за компетенцией государства </w:t>
      </w:r>
      <w:r w:rsidRPr="006E50B7">
        <w:rPr>
          <w:rFonts w:ascii="Times New Roman" w:hAnsi="Times New Roman" w:cs="Times New Roman"/>
          <w:sz w:val="28"/>
          <w:szCs w:val="28"/>
        </w:rPr>
        <w:t>[</w:t>
      </w:r>
      <w:r>
        <w:rPr>
          <w:rFonts w:ascii="Times New Roman" w:hAnsi="Times New Roman" w:cs="Times New Roman"/>
          <w:sz w:val="28"/>
          <w:szCs w:val="28"/>
        </w:rPr>
        <w:t>5</w:t>
      </w:r>
      <w:r w:rsidRPr="006E50B7">
        <w:rPr>
          <w:rFonts w:ascii="Times New Roman" w:hAnsi="Times New Roman" w:cs="Times New Roman"/>
          <w:sz w:val="28"/>
          <w:szCs w:val="28"/>
        </w:rPr>
        <w:t>].</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r>
      <w:r>
        <w:rPr>
          <w:rFonts w:ascii="Times New Roman" w:hAnsi="Times New Roman" w:cs="Times New Roman"/>
          <w:sz w:val="28"/>
          <w:szCs w:val="28"/>
        </w:rPr>
        <w:t xml:space="preserve">Одним из основных преимуществ государственно-частных партнёрств </w:t>
      </w:r>
      <w:r>
        <w:rPr>
          <w:rFonts w:ascii="Times New Roman" w:hAnsi="Times New Roman" w:cs="Times New Roman"/>
          <w:sz w:val="28"/>
          <w:szCs w:val="28"/>
        </w:rPr>
        <w:lastRenderedPageBreak/>
        <w:t>заключается в том, что</w:t>
      </w:r>
      <w:r w:rsidRPr="002C323B">
        <w:rPr>
          <w:rFonts w:ascii="Times New Roman" w:hAnsi="Times New Roman" w:cs="Times New Roman"/>
          <w:sz w:val="28"/>
          <w:szCs w:val="28"/>
        </w:rPr>
        <w:t xml:space="preserve"> </w:t>
      </w:r>
      <w:r>
        <w:rPr>
          <w:rFonts w:ascii="Times New Roman" w:hAnsi="Times New Roman" w:cs="Times New Roman"/>
          <w:sz w:val="28"/>
          <w:szCs w:val="28"/>
        </w:rPr>
        <w:t>они</w:t>
      </w:r>
      <w:r w:rsidRPr="002C323B">
        <w:rPr>
          <w:rFonts w:ascii="Times New Roman" w:hAnsi="Times New Roman" w:cs="Times New Roman"/>
          <w:sz w:val="28"/>
          <w:szCs w:val="28"/>
        </w:rPr>
        <w:t xml:space="preserve"> наиболее полно отвечает запросам заинтересованных сторон. Привлекательность для государства обуславливается тем, что заключение подобных соглашений способствует экономии бюджетных средств за счёт привлечения частных инвестиций. Для бизнеса основным преимуществом ГЧП является то, что оно позволяет снизить риск финан</w:t>
      </w:r>
      <w:r>
        <w:rPr>
          <w:rFonts w:ascii="Times New Roman" w:hAnsi="Times New Roman" w:cs="Times New Roman"/>
          <w:sz w:val="28"/>
          <w:szCs w:val="28"/>
        </w:rPr>
        <w:t>совых потерь от неудачи проекта</w:t>
      </w:r>
      <w:r w:rsidRPr="002C323B">
        <w:rPr>
          <w:rFonts w:ascii="Times New Roman" w:hAnsi="Times New Roman" w:cs="Times New Roman"/>
          <w:sz w:val="28"/>
          <w:szCs w:val="28"/>
        </w:rPr>
        <w:t xml:space="preserve"> за счёт гарантий государства. В свою очередь, для населения ГЧП способно обеспечить получение более качественных услуг. </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t>Помимо вышеперечисленного можно выделить следующие положительные стороны ГЧП:</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t>- контракты, заключаемые в рамках ГЧП, более гибки, нежели чем типичные механизмы бюджетирования;</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r>
      <w:r w:rsidRPr="002C323B">
        <w:rPr>
          <w:rFonts w:ascii="Times New Roman" w:eastAsia="Calibri" w:hAnsi="Times New Roman" w:cs="Times New Roman"/>
          <w:sz w:val="28"/>
          <w:szCs w:val="28"/>
        </w:rPr>
        <w:t>- государство может выбирать партнеров из имеющихся возможных вариантов, участвующих в конкурсе;</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t>- ГЧП-проекты более прозрачны и, как следствие, способствую</w:t>
      </w:r>
      <w:r>
        <w:rPr>
          <w:rFonts w:ascii="Times New Roman" w:hAnsi="Times New Roman" w:cs="Times New Roman"/>
          <w:sz w:val="28"/>
          <w:szCs w:val="28"/>
        </w:rPr>
        <w:t xml:space="preserve">т снижению уровня коррупции. </w:t>
      </w:r>
      <w:r>
        <w:rPr>
          <w:rFonts w:ascii="Times New Roman" w:hAnsi="Times New Roman" w:cs="Times New Roman"/>
          <w:sz w:val="28"/>
          <w:szCs w:val="28"/>
        </w:rPr>
        <w:br/>
        <w:t xml:space="preserve"> </w:t>
      </w:r>
      <w:r>
        <w:rPr>
          <w:rFonts w:ascii="Times New Roman" w:hAnsi="Times New Roman" w:cs="Times New Roman"/>
          <w:sz w:val="28"/>
          <w:szCs w:val="28"/>
        </w:rPr>
        <w:tab/>
      </w:r>
      <w:r w:rsidRPr="002C323B">
        <w:rPr>
          <w:rFonts w:ascii="Times New Roman" w:hAnsi="Times New Roman" w:cs="Times New Roman"/>
          <w:sz w:val="28"/>
          <w:szCs w:val="28"/>
        </w:rPr>
        <w:t xml:space="preserve">В качестве аргумента против ГЧП выступает то, что оно приводит к снижению контроля государства над конкретной отраслью и может привести к её приватизации. </w:t>
      </w:r>
      <w:r>
        <w:rPr>
          <w:rFonts w:ascii="Times New Roman" w:hAnsi="Times New Roman" w:cs="Times New Roman"/>
          <w:sz w:val="28"/>
          <w:szCs w:val="28"/>
        </w:rPr>
        <w:br/>
        <w:t xml:space="preserve"> </w:t>
      </w:r>
      <w:r>
        <w:rPr>
          <w:rFonts w:ascii="Times New Roman" w:hAnsi="Times New Roman" w:cs="Times New Roman"/>
          <w:sz w:val="28"/>
          <w:szCs w:val="28"/>
        </w:rPr>
        <w:tab/>
      </w:r>
      <w:r w:rsidRPr="002C323B">
        <w:rPr>
          <w:rFonts w:ascii="Times New Roman" w:hAnsi="Times New Roman" w:cs="Times New Roman"/>
          <w:sz w:val="28"/>
          <w:szCs w:val="28"/>
        </w:rPr>
        <w:t xml:space="preserve">Перспективность развития </w:t>
      </w:r>
      <w:r>
        <w:rPr>
          <w:rFonts w:ascii="Times New Roman" w:hAnsi="Times New Roman" w:cs="Times New Roman"/>
          <w:sz w:val="28"/>
          <w:szCs w:val="28"/>
        </w:rPr>
        <w:t>ГЧП (</w:t>
      </w:r>
      <w:r w:rsidRPr="002C323B">
        <w:rPr>
          <w:rFonts w:ascii="Times New Roman" w:hAnsi="Times New Roman" w:cs="Times New Roman"/>
          <w:sz w:val="28"/>
          <w:szCs w:val="28"/>
        </w:rPr>
        <w:t>в том числе в области образования</w:t>
      </w:r>
      <w:r>
        <w:rPr>
          <w:rFonts w:ascii="Times New Roman" w:hAnsi="Times New Roman" w:cs="Times New Roman"/>
          <w:sz w:val="28"/>
          <w:szCs w:val="28"/>
        </w:rPr>
        <w:t>)</w:t>
      </w:r>
      <w:r w:rsidRPr="002C323B">
        <w:rPr>
          <w:rFonts w:ascii="Times New Roman" w:hAnsi="Times New Roman" w:cs="Times New Roman"/>
          <w:sz w:val="28"/>
          <w:szCs w:val="28"/>
        </w:rPr>
        <w:t>, обуславливается тем, что данная сфера в России находится на начальной стадии формирования, а реалии рынка требуют её скорейшего развития.</w:t>
      </w:r>
      <w:r w:rsidRPr="00F71BA2">
        <w:rPr>
          <w:rFonts w:ascii="Times New Roman" w:hAnsi="Times New Roman" w:cs="Times New Roman"/>
          <w:sz w:val="28"/>
          <w:szCs w:val="28"/>
        </w:rPr>
        <w:t xml:space="preserve"> </w:t>
      </w:r>
      <w:r>
        <w:rPr>
          <w:rFonts w:ascii="Times New Roman" w:hAnsi="Times New Roman" w:cs="Times New Roman"/>
          <w:sz w:val="28"/>
          <w:szCs w:val="28"/>
        </w:rPr>
        <w:br/>
        <w:t xml:space="preserve"> </w:t>
      </w:r>
      <w:r>
        <w:rPr>
          <w:rFonts w:ascii="Times New Roman" w:hAnsi="Times New Roman" w:cs="Times New Roman"/>
          <w:sz w:val="28"/>
          <w:szCs w:val="28"/>
        </w:rPr>
        <w:tab/>
      </w:r>
      <w:r w:rsidRPr="00521ACA">
        <w:rPr>
          <w:rFonts w:ascii="Times New Roman" w:hAnsi="Times New Roman" w:cs="Times New Roman"/>
          <w:sz w:val="28"/>
          <w:szCs w:val="28"/>
        </w:rPr>
        <w:t>Среди основных проблем и ограничений развития сферы ГЧП в РФ можно выделить:</w:t>
      </w:r>
      <w:r>
        <w:rPr>
          <w:rFonts w:ascii="Times New Roman" w:hAnsi="Times New Roman" w:cs="Times New Roman"/>
          <w:sz w:val="28"/>
          <w:szCs w:val="28"/>
        </w:rPr>
        <w:br/>
        <w:t xml:space="preserve"> </w:t>
      </w:r>
      <w:r>
        <w:rPr>
          <w:rFonts w:ascii="Times New Roman" w:hAnsi="Times New Roman" w:cs="Times New Roman"/>
          <w:sz w:val="28"/>
          <w:szCs w:val="28"/>
        </w:rPr>
        <w:tab/>
        <w:t xml:space="preserve">- </w:t>
      </w:r>
      <w:r w:rsidRPr="00521ACA">
        <w:rPr>
          <w:rFonts w:ascii="Times New Roman" w:hAnsi="Times New Roman" w:cs="Times New Roman"/>
          <w:sz w:val="28"/>
          <w:szCs w:val="28"/>
        </w:rPr>
        <w:t xml:space="preserve">отсутствие комплексного стратегического </w:t>
      </w:r>
      <w:proofErr w:type="spellStart"/>
      <w:r w:rsidRPr="00521ACA">
        <w:rPr>
          <w:rFonts w:ascii="Times New Roman" w:hAnsi="Times New Roman" w:cs="Times New Roman"/>
          <w:sz w:val="28"/>
          <w:szCs w:val="28"/>
        </w:rPr>
        <w:t>целеориентированного</w:t>
      </w:r>
      <w:proofErr w:type="spellEnd"/>
      <w:r w:rsidRPr="00521ACA">
        <w:rPr>
          <w:rFonts w:ascii="Times New Roman" w:hAnsi="Times New Roman" w:cs="Times New Roman"/>
          <w:sz w:val="28"/>
          <w:szCs w:val="28"/>
        </w:rPr>
        <w:t xml:space="preserve"> подхода к планированию и развитию инфраструктуры;</w:t>
      </w:r>
      <w:r>
        <w:rPr>
          <w:rFonts w:ascii="Times New Roman" w:hAnsi="Times New Roman" w:cs="Times New Roman"/>
          <w:sz w:val="28"/>
          <w:szCs w:val="28"/>
        </w:rPr>
        <w:br/>
        <w:t xml:space="preserve"> </w:t>
      </w:r>
      <w:r>
        <w:rPr>
          <w:rFonts w:ascii="Times New Roman" w:hAnsi="Times New Roman" w:cs="Times New Roman"/>
          <w:sz w:val="28"/>
          <w:szCs w:val="28"/>
        </w:rPr>
        <w:tab/>
        <w:t xml:space="preserve">- </w:t>
      </w:r>
      <w:r w:rsidRPr="00521ACA">
        <w:rPr>
          <w:rFonts w:ascii="Times New Roman" w:hAnsi="Times New Roman" w:cs="Times New Roman"/>
          <w:sz w:val="28"/>
          <w:szCs w:val="28"/>
        </w:rPr>
        <w:t>низкий уровень развития нормативно-правовой и методологической базы в сфере ГЧП;</w:t>
      </w:r>
      <w:r>
        <w:rPr>
          <w:rFonts w:ascii="Times New Roman" w:hAnsi="Times New Roman" w:cs="Times New Roman"/>
          <w:sz w:val="28"/>
          <w:szCs w:val="28"/>
        </w:rPr>
        <w:br/>
        <w:t xml:space="preserve"> </w:t>
      </w:r>
      <w:r>
        <w:rPr>
          <w:rFonts w:ascii="Times New Roman" w:hAnsi="Times New Roman" w:cs="Times New Roman"/>
          <w:sz w:val="28"/>
          <w:szCs w:val="28"/>
        </w:rPr>
        <w:tab/>
        <w:t xml:space="preserve">- </w:t>
      </w:r>
      <w:r w:rsidRPr="00521ACA">
        <w:rPr>
          <w:rFonts w:ascii="Times New Roman" w:hAnsi="Times New Roman" w:cs="Times New Roman"/>
          <w:sz w:val="28"/>
          <w:szCs w:val="28"/>
        </w:rPr>
        <w:t>отсутствие системы управления сферой ГЧП на федеральном уровне и унифицированной модели на региональном и местном уровне;</w:t>
      </w:r>
      <w:r>
        <w:rPr>
          <w:rFonts w:ascii="Times New Roman" w:hAnsi="Times New Roman" w:cs="Times New Roman"/>
          <w:sz w:val="28"/>
          <w:szCs w:val="28"/>
        </w:rPr>
        <w:br/>
        <w:t xml:space="preserve"> </w:t>
      </w:r>
      <w:r>
        <w:rPr>
          <w:rFonts w:ascii="Times New Roman" w:hAnsi="Times New Roman" w:cs="Times New Roman"/>
          <w:sz w:val="28"/>
          <w:szCs w:val="28"/>
        </w:rPr>
        <w:tab/>
        <w:t xml:space="preserve">- </w:t>
      </w:r>
      <w:r w:rsidRPr="00521ACA">
        <w:rPr>
          <w:rFonts w:ascii="Times New Roman" w:hAnsi="Times New Roman" w:cs="Times New Roman"/>
          <w:sz w:val="28"/>
          <w:szCs w:val="28"/>
        </w:rPr>
        <w:t xml:space="preserve">недостаточный уровень развития бюджетных и финансовых механизмов для </w:t>
      </w:r>
      <w:r w:rsidRPr="00521ACA">
        <w:rPr>
          <w:rFonts w:ascii="Times New Roman" w:hAnsi="Times New Roman" w:cs="Times New Roman"/>
          <w:sz w:val="28"/>
          <w:szCs w:val="28"/>
        </w:rPr>
        <w:lastRenderedPageBreak/>
        <w:t>эффективной реализации проектов ГЧП;</w:t>
      </w:r>
      <w:r>
        <w:rPr>
          <w:rFonts w:ascii="Times New Roman" w:hAnsi="Times New Roman" w:cs="Times New Roman"/>
          <w:sz w:val="28"/>
          <w:szCs w:val="28"/>
        </w:rPr>
        <w:br/>
        <w:t xml:space="preserve"> </w:t>
      </w:r>
      <w:r>
        <w:rPr>
          <w:rFonts w:ascii="Times New Roman" w:hAnsi="Times New Roman" w:cs="Times New Roman"/>
          <w:sz w:val="28"/>
          <w:szCs w:val="28"/>
        </w:rPr>
        <w:tab/>
        <w:t xml:space="preserve">- </w:t>
      </w:r>
      <w:r w:rsidRPr="00521ACA">
        <w:rPr>
          <w:rFonts w:ascii="Times New Roman" w:hAnsi="Times New Roman" w:cs="Times New Roman"/>
          <w:sz w:val="28"/>
          <w:szCs w:val="28"/>
        </w:rPr>
        <w:t>низкий уровень развития рынка частных операторов и конкуренции в сфере ГЧП, в том числе по причине существующих правовых ограничений и барьеров</w:t>
      </w:r>
      <w:r>
        <w:rPr>
          <w:rFonts w:ascii="Times New Roman" w:hAnsi="Times New Roman" w:cs="Times New Roman"/>
          <w:sz w:val="28"/>
          <w:szCs w:val="28"/>
        </w:rPr>
        <w:t xml:space="preserve"> [3</w:t>
      </w:r>
      <w:r w:rsidRPr="00521ACA">
        <w:rPr>
          <w:rFonts w:ascii="Times New Roman" w:hAnsi="Times New Roman" w:cs="Times New Roman"/>
          <w:sz w:val="28"/>
          <w:szCs w:val="28"/>
        </w:rPr>
        <w:t>].</w:t>
      </w:r>
      <w:r w:rsidRPr="002F03E3">
        <w:rPr>
          <w:rFonts w:ascii="Times New Roman" w:hAnsi="Times New Roman" w:cs="Times New Roman"/>
          <w:sz w:val="28"/>
          <w:szCs w:val="28"/>
        </w:rPr>
        <w:br/>
        <w:t xml:space="preserve"> </w:t>
      </w:r>
      <w:r w:rsidRPr="002F03E3">
        <w:rPr>
          <w:rFonts w:ascii="Times New Roman" w:hAnsi="Times New Roman" w:cs="Times New Roman"/>
          <w:sz w:val="28"/>
          <w:szCs w:val="28"/>
        </w:rPr>
        <w:tab/>
        <w:t xml:space="preserve">Если обратиться к статистическим данным, собранным российским </w:t>
      </w:r>
      <w:r>
        <w:rPr>
          <w:rFonts w:ascii="Times New Roman" w:hAnsi="Times New Roman" w:cs="Times New Roman"/>
          <w:sz w:val="28"/>
          <w:szCs w:val="28"/>
        </w:rPr>
        <w:t>«Ц</w:t>
      </w:r>
      <w:r w:rsidRPr="002F03E3">
        <w:rPr>
          <w:rFonts w:ascii="Times New Roman" w:hAnsi="Times New Roman" w:cs="Times New Roman"/>
          <w:sz w:val="28"/>
          <w:szCs w:val="28"/>
        </w:rPr>
        <w:t>ентром развития ГЧП</w:t>
      </w:r>
      <w:r>
        <w:rPr>
          <w:rFonts w:ascii="Times New Roman" w:hAnsi="Times New Roman" w:cs="Times New Roman"/>
          <w:sz w:val="28"/>
          <w:szCs w:val="28"/>
        </w:rPr>
        <w:t>»</w:t>
      </w:r>
      <w:r w:rsidRPr="002F03E3">
        <w:rPr>
          <w:rFonts w:ascii="Times New Roman" w:hAnsi="Times New Roman" w:cs="Times New Roman"/>
          <w:sz w:val="28"/>
          <w:szCs w:val="28"/>
        </w:rPr>
        <w:t>, можно увидеть, что</w:t>
      </w:r>
      <w:r>
        <w:rPr>
          <w:rFonts w:ascii="Times New Roman" w:hAnsi="Times New Roman" w:cs="Times New Roman"/>
          <w:sz w:val="28"/>
          <w:szCs w:val="28"/>
        </w:rPr>
        <w:t>, не</w:t>
      </w:r>
      <w:r w:rsidRPr="002F03E3">
        <w:rPr>
          <w:rFonts w:ascii="Times New Roman" w:hAnsi="Times New Roman" w:cs="Times New Roman"/>
          <w:sz w:val="28"/>
          <w:szCs w:val="28"/>
        </w:rPr>
        <w:t>смотря на имеющиеся проблемы, за последние несколько лет в России произошёл всплеск активности в области ГЧП. С 2013 года наблюдается устойчивый рост числа проектов, основанных на концессионных соглашениях, договорах партнёрства и других формах ГЧП.</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t xml:space="preserve">Увеличение количества ГЧП-проектов свидетельствует о том, что сложившиеся механизмы бюджетирования в </w:t>
      </w:r>
      <w:proofErr w:type="gramStart"/>
      <w:r w:rsidRPr="002C323B">
        <w:rPr>
          <w:rFonts w:ascii="Times New Roman" w:hAnsi="Times New Roman" w:cs="Times New Roman"/>
          <w:sz w:val="28"/>
          <w:szCs w:val="28"/>
        </w:rPr>
        <w:t>различных  сферах</w:t>
      </w:r>
      <w:proofErr w:type="gramEnd"/>
      <w:r w:rsidRPr="002C323B">
        <w:rPr>
          <w:rFonts w:ascii="Times New Roman" w:hAnsi="Times New Roman" w:cs="Times New Roman"/>
          <w:sz w:val="28"/>
          <w:szCs w:val="28"/>
        </w:rPr>
        <w:t xml:space="preserve"> экономики не отвечают требованиям рынка. Другой причиной наблюдаемого роста числа подобных соглашений между бизнесом и государством может служить то, что с 2013 года произошли существенные изменения в законодательстве о концессионных соглашениях, а в 2015 году состоялось принятие базового закона о ГЧП (Федеральный закон</w:t>
      </w:r>
      <w:r>
        <w:rPr>
          <w:rFonts w:ascii="Times New Roman" w:hAnsi="Times New Roman" w:cs="Times New Roman"/>
          <w:sz w:val="28"/>
          <w:szCs w:val="28"/>
        </w:rPr>
        <w:t xml:space="preserve"> от 13 июля </w:t>
      </w:r>
      <w:smartTag w:uri="urn:schemas-microsoft-com:office:smarttags" w:element="metricconverter">
        <w:smartTagPr>
          <w:attr w:name="ProductID" w:val="2015 г"/>
        </w:smartTagPr>
        <w:r>
          <w:rPr>
            <w:rFonts w:ascii="Times New Roman" w:hAnsi="Times New Roman" w:cs="Times New Roman"/>
            <w:sz w:val="28"/>
            <w:szCs w:val="28"/>
          </w:rPr>
          <w:t>2015 г</w:t>
        </w:r>
      </w:smartTag>
      <w:r>
        <w:rPr>
          <w:rFonts w:ascii="Times New Roman" w:hAnsi="Times New Roman" w:cs="Times New Roman"/>
          <w:sz w:val="28"/>
          <w:szCs w:val="28"/>
        </w:rPr>
        <w:t>. № 224-ФЗ «</w:t>
      </w:r>
      <w:r w:rsidRPr="00F51370">
        <w:rPr>
          <w:rFonts w:ascii="Times New Roman" w:hAnsi="Times New Roman" w:cs="Times New Roman"/>
          <w:sz w:val="28"/>
          <w:szCs w:val="28"/>
        </w:rPr>
        <w:t xml:space="preserve">О государственно-частном партнерстве, </w:t>
      </w:r>
      <w:proofErr w:type="spellStart"/>
      <w:r>
        <w:rPr>
          <w:rFonts w:ascii="Times New Roman" w:hAnsi="Times New Roman" w:cs="Times New Roman"/>
          <w:sz w:val="28"/>
          <w:szCs w:val="28"/>
        </w:rPr>
        <w:t>муниципально</w:t>
      </w:r>
      <w:proofErr w:type="spellEnd"/>
      <w:r w:rsidRPr="00F51370">
        <w:rPr>
          <w:rFonts w:ascii="Times New Roman" w:hAnsi="Times New Roman" w:cs="Times New Roman"/>
          <w:sz w:val="28"/>
          <w:szCs w:val="28"/>
        </w:rPr>
        <w:t>-частном партнерстве в Российской Федерации и внесении изменений в отдельные законодательные акты Российской Федерации</w:t>
      </w:r>
      <w:r>
        <w:rPr>
          <w:rFonts w:ascii="Times New Roman" w:hAnsi="Times New Roman" w:cs="Times New Roman"/>
          <w:sz w:val="28"/>
          <w:szCs w:val="28"/>
        </w:rPr>
        <w:t>»)</w:t>
      </w:r>
      <w:r w:rsidRPr="00CE14D1">
        <w:rPr>
          <w:rFonts w:ascii="Times New Roman" w:hAnsi="Times New Roman" w:cs="Times New Roman"/>
          <w:sz w:val="28"/>
          <w:szCs w:val="28"/>
        </w:rPr>
        <w:t xml:space="preserve"> </w:t>
      </w:r>
      <w:r>
        <w:rPr>
          <w:rFonts w:ascii="Times New Roman" w:hAnsi="Times New Roman" w:cs="Times New Roman"/>
          <w:sz w:val="28"/>
          <w:szCs w:val="28"/>
        </w:rPr>
        <w:t>[4</w:t>
      </w:r>
      <w:r w:rsidRPr="00B35403">
        <w:rPr>
          <w:rFonts w:ascii="Times New Roman" w:hAnsi="Times New Roman" w:cs="Times New Roman"/>
          <w:sz w:val="28"/>
          <w:szCs w:val="28"/>
        </w:rPr>
        <w:t>].</w:t>
      </w:r>
      <w:r w:rsidRPr="00CE14D1">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t>В России в 2015-2016 гг. распределение количества проектов ГЧП в разрезе сфер экономики и объёма инвестиций в них выглядело следующим образом:</w:t>
      </w:r>
      <w:r>
        <w:rPr>
          <w:rFonts w:ascii="Times New Roman" w:hAnsi="Times New Roman" w:cs="Times New Roman"/>
          <w:sz w:val="28"/>
          <w:szCs w:val="28"/>
        </w:rPr>
        <w:br/>
        <w:t xml:space="preserve"> </w:t>
      </w:r>
      <w:r>
        <w:rPr>
          <w:rFonts w:ascii="Times New Roman" w:hAnsi="Times New Roman" w:cs="Times New Roman"/>
          <w:sz w:val="28"/>
          <w:szCs w:val="28"/>
        </w:rPr>
        <w:tab/>
        <w:t>- коммунально-энергетическая сфера – 84 %, объём инвестиций – 417,2 млрд. руб.;</w:t>
      </w:r>
      <w:r>
        <w:rPr>
          <w:rFonts w:ascii="Times New Roman" w:hAnsi="Times New Roman" w:cs="Times New Roman"/>
          <w:sz w:val="28"/>
          <w:szCs w:val="28"/>
        </w:rPr>
        <w:br/>
        <w:t xml:space="preserve"> </w:t>
      </w:r>
      <w:r>
        <w:rPr>
          <w:rFonts w:ascii="Times New Roman" w:hAnsi="Times New Roman" w:cs="Times New Roman"/>
          <w:sz w:val="28"/>
          <w:szCs w:val="28"/>
        </w:rPr>
        <w:tab/>
        <w:t>- транспортная сфера – 3 %, объём инвестиций – 845,7 млрд. руб.;</w:t>
      </w:r>
      <w:r>
        <w:rPr>
          <w:rFonts w:ascii="Times New Roman" w:hAnsi="Times New Roman" w:cs="Times New Roman"/>
          <w:sz w:val="28"/>
          <w:szCs w:val="28"/>
        </w:rPr>
        <w:br/>
        <w:t xml:space="preserve"> </w:t>
      </w:r>
      <w:r>
        <w:rPr>
          <w:rFonts w:ascii="Times New Roman" w:hAnsi="Times New Roman" w:cs="Times New Roman"/>
          <w:sz w:val="28"/>
          <w:szCs w:val="28"/>
        </w:rPr>
        <w:tab/>
        <w:t>- социальная сфера (здравоохранение, образование, туризм, культура, спорт, социальное обслуживание) – 11 %, объём инвестиций – 204 млрд. руб.;</w:t>
      </w:r>
      <w:r>
        <w:rPr>
          <w:rFonts w:ascii="Times New Roman" w:hAnsi="Times New Roman" w:cs="Times New Roman"/>
          <w:sz w:val="28"/>
          <w:szCs w:val="28"/>
        </w:rPr>
        <w:br/>
        <w:t xml:space="preserve"> </w:t>
      </w:r>
      <w:r>
        <w:rPr>
          <w:rFonts w:ascii="Times New Roman" w:hAnsi="Times New Roman" w:cs="Times New Roman"/>
          <w:sz w:val="28"/>
          <w:szCs w:val="28"/>
        </w:rPr>
        <w:tab/>
        <w:t>- информационно-коммуникационная – 1 %, объём инвестиций – 46,9 млрд. руб.;</w:t>
      </w:r>
      <w:r>
        <w:rPr>
          <w:rFonts w:ascii="Times New Roman" w:hAnsi="Times New Roman" w:cs="Times New Roman"/>
          <w:sz w:val="28"/>
          <w:szCs w:val="28"/>
        </w:rPr>
        <w:br/>
        <w:t xml:space="preserve">  </w:t>
      </w:r>
      <w:r>
        <w:rPr>
          <w:rFonts w:ascii="Times New Roman" w:hAnsi="Times New Roman" w:cs="Times New Roman"/>
          <w:sz w:val="28"/>
          <w:szCs w:val="28"/>
        </w:rPr>
        <w:tab/>
        <w:t xml:space="preserve">- иные сферы – 1% , объём инвестиций – 6 млрд. руб. </w:t>
      </w:r>
      <w:r w:rsidRPr="00815B5B">
        <w:rPr>
          <w:rFonts w:ascii="Times New Roman" w:hAnsi="Times New Roman" w:cs="Times New Roman"/>
          <w:sz w:val="28"/>
          <w:szCs w:val="28"/>
        </w:rPr>
        <w:t>[</w:t>
      </w:r>
      <w:r>
        <w:rPr>
          <w:rFonts w:ascii="Times New Roman" w:hAnsi="Times New Roman" w:cs="Times New Roman"/>
          <w:sz w:val="28"/>
          <w:szCs w:val="28"/>
        </w:rPr>
        <w:t>2, 4</w:t>
      </w:r>
      <w:r w:rsidRPr="00815B5B">
        <w:rPr>
          <w:rFonts w:ascii="Times New Roman" w:hAnsi="Times New Roman" w:cs="Times New Roman"/>
          <w:sz w:val="28"/>
          <w:szCs w:val="28"/>
        </w:rPr>
        <w:t>]</w:t>
      </w:r>
      <w:r>
        <w:rPr>
          <w:rFonts w:ascii="Times New Roman" w:hAnsi="Times New Roman" w:cs="Times New Roman"/>
          <w:sz w:val="28"/>
          <w:szCs w:val="28"/>
        </w:rPr>
        <w:t>.</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r>
      <w:r w:rsidRPr="002C323B">
        <w:rPr>
          <w:rFonts w:ascii="Times New Roman" w:eastAsia="Calibri" w:hAnsi="Times New Roman" w:cs="Times New Roman"/>
          <w:sz w:val="28"/>
          <w:szCs w:val="28"/>
        </w:rPr>
        <w:t>Дальнейшее развитие ГЧП в России обуславливается:</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r>
      <w:r w:rsidRPr="002C323B">
        <w:rPr>
          <w:rFonts w:ascii="Times New Roman" w:eastAsia="Calibri" w:hAnsi="Times New Roman" w:cs="Times New Roman"/>
          <w:sz w:val="28"/>
          <w:szCs w:val="28"/>
        </w:rPr>
        <w:t>- созданием единой информационной базы ГЧП-проектов;</w:t>
      </w:r>
      <w:r w:rsidRPr="002C323B">
        <w:rPr>
          <w:rFonts w:ascii="Times New Roman" w:hAnsi="Times New Roman" w:cs="Times New Roman"/>
          <w:sz w:val="28"/>
          <w:szCs w:val="28"/>
        </w:rPr>
        <w:br/>
      </w:r>
      <w:r w:rsidRPr="002C323B">
        <w:rPr>
          <w:rFonts w:ascii="Times New Roman" w:hAnsi="Times New Roman" w:cs="Times New Roman"/>
          <w:sz w:val="28"/>
          <w:szCs w:val="28"/>
        </w:rPr>
        <w:lastRenderedPageBreak/>
        <w:t xml:space="preserve"> </w:t>
      </w:r>
      <w:r w:rsidRPr="002C323B">
        <w:rPr>
          <w:rFonts w:ascii="Times New Roman" w:hAnsi="Times New Roman" w:cs="Times New Roman"/>
          <w:sz w:val="28"/>
          <w:szCs w:val="28"/>
        </w:rPr>
        <w:tab/>
      </w:r>
      <w:r w:rsidRPr="002C323B">
        <w:rPr>
          <w:rFonts w:ascii="Times New Roman" w:eastAsia="Calibri" w:hAnsi="Times New Roman" w:cs="Times New Roman"/>
          <w:sz w:val="28"/>
          <w:szCs w:val="28"/>
        </w:rPr>
        <w:t>- постоянным со</w:t>
      </w:r>
      <w:r>
        <w:rPr>
          <w:rFonts w:ascii="Times New Roman" w:eastAsia="Calibri" w:hAnsi="Times New Roman" w:cs="Times New Roman"/>
          <w:sz w:val="28"/>
          <w:szCs w:val="28"/>
        </w:rPr>
        <w:t xml:space="preserve">вершенствованием федерального и </w:t>
      </w:r>
      <w:r w:rsidRPr="002C323B">
        <w:rPr>
          <w:rFonts w:ascii="Times New Roman" w:eastAsia="Calibri" w:hAnsi="Times New Roman" w:cs="Times New Roman"/>
          <w:sz w:val="28"/>
          <w:szCs w:val="28"/>
        </w:rPr>
        <w:t>муниципального законодательства о ГЧП;</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r>
      <w:r>
        <w:rPr>
          <w:rFonts w:ascii="Times New Roman" w:eastAsia="Calibri" w:hAnsi="Times New Roman" w:cs="Times New Roman"/>
          <w:sz w:val="28"/>
          <w:szCs w:val="28"/>
        </w:rPr>
        <w:t xml:space="preserve">- </w:t>
      </w:r>
      <w:r w:rsidRPr="002C323B">
        <w:rPr>
          <w:rFonts w:ascii="Times New Roman" w:eastAsia="Calibri" w:hAnsi="Times New Roman" w:cs="Times New Roman"/>
          <w:sz w:val="28"/>
          <w:szCs w:val="28"/>
        </w:rPr>
        <w:t>развитием страхования ГЧП-проектов и, как следствие, ростом числа гарантий для заинтересованных сторон.</w:t>
      </w:r>
      <w:r>
        <w:rPr>
          <w:rFonts w:ascii="Times New Roman" w:eastAsia="Calibri" w:hAnsi="Times New Roman" w:cs="Times New Roman"/>
          <w:sz w:val="28"/>
          <w:szCs w:val="28"/>
        </w:rPr>
        <w:t xml:space="preserve"> </w:t>
      </w:r>
      <w:r w:rsidRPr="002C323B">
        <w:rPr>
          <w:rFonts w:ascii="Times New Roman" w:eastAsia="Calibri" w:hAnsi="Times New Roman" w:cs="Times New Roman"/>
          <w:sz w:val="28"/>
          <w:szCs w:val="28"/>
        </w:rPr>
        <w:br/>
        <w:t xml:space="preserve"> </w:t>
      </w:r>
      <w:r w:rsidRPr="002C323B">
        <w:rPr>
          <w:rFonts w:ascii="Times New Roman" w:eastAsia="Calibri" w:hAnsi="Times New Roman" w:cs="Times New Roman"/>
          <w:sz w:val="28"/>
          <w:szCs w:val="28"/>
        </w:rPr>
        <w:tab/>
      </w:r>
      <w:r w:rsidRPr="002C323B">
        <w:rPr>
          <w:rFonts w:ascii="Times New Roman" w:hAnsi="Times New Roman" w:cs="Times New Roman"/>
          <w:sz w:val="28"/>
          <w:szCs w:val="28"/>
        </w:rPr>
        <w:t>В мировой</w:t>
      </w:r>
      <w:r>
        <w:rPr>
          <w:rFonts w:ascii="Times New Roman" w:hAnsi="Times New Roman" w:cs="Times New Roman"/>
          <w:sz w:val="28"/>
          <w:szCs w:val="28"/>
        </w:rPr>
        <w:t xml:space="preserve"> практике ГЧП находит широкое применение в образовании</w:t>
      </w:r>
      <w:r w:rsidRPr="002C323B">
        <w:rPr>
          <w:rFonts w:ascii="Times New Roman" w:hAnsi="Times New Roman" w:cs="Times New Roman"/>
          <w:sz w:val="28"/>
          <w:szCs w:val="28"/>
        </w:rPr>
        <w:t>. Основной целью реализации ГЧП-проектов в образовательной сфер</w:t>
      </w:r>
      <w:r>
        <w:rPr>
          <w:rFonts w:ascii="Times New Roman" w:hAnsi="Times New Roman" w:cs="Times New Roman"/>
          <w:sz w:val="28"/>
          <w:szCs w:val="28"/>
        </w:rPr>
        <w:t>е</w:t>
      </w:r>
      <w:r w:rsidRPr="002C323B">
        <w:rPr>
          <w:rFonts w:ascii="Times New Roman" w:hAnsi="Times New Roman" w:cs="Times New Roman"/>
          <w:sz w:val="28"/>
          <w:szCs w:val="28"/>
        </w:rPr>
        <w:t xml:space="preserve"> является повышение качества и доступности образования для всех слоёв населения.</w:t>
      </w:r>
      <w:r w:rsidRPr="002C323B">
        <w:rPr>
          <w:rFonts w:ascii="Times New Roman" w:hAnsi="Times New Roman" w:cs="Times New Roman"/>
          <w:sz w:val="28"/>
          <w:szCs w:val="28"/>
        </w:rPr>
        <w:br/>
        <w:t xml:space="preserve"> </w:t>
      </w:r>
      <w:r w:rsidRPr="002C323B">
        <w:rPr>
          <w:rFonts w:ascii="Times New Roman" w:hAnsi="Times New Roman" w:cs="Times New Roman"/>
          <w:sz w:val="28"/>
          <w:szCs w:val="28"/>
        </w:rPr>
        <w:tab/>
      </w:r>
      <w:r>
        <w:rPr>
          <w:rFonts w:ascii="Times New Roman" w:hAnsi="Times New Roman" w:cs="Times New Roman"/>
          <w:sz w:val="28"/>
          <w:szCs w:val="28"/>
        </w:rPr>
        <w:t>За рубежом (Великобритания, США, Франция и др.) ГЧП в образовании</w:t>
      </w:r>
      <w:r w:rsidRPr="002C323B">
        <w:rPr>
          <w:rFonts w:ascii="Times New Roman" w:hAnsi="Times New Roman" w:cs="Times New Roman"/>
          <w:sz w:val="28"/>
          <w:szCs w:val="28"/>
        </w:rPr>
        <w:t xml:space="preserve"> выражается через заключение государством договоров с частными организациями об оказании образовательных или сопутствующих услуг за указанный период времени и цену. Также эти соглашения определяют характер налагаемых за невыполнение обязательств санкций и часто подразумевают разделение финансовых рисков между бизнесом и государством.</w:t>
      </w:r>
      <w:r>
        <w:rPr>
          <w:rFonts w:ascii="Times New Roman" w:hAnsi="Times New Roman" w:cs="Times New Roman"/>
          <w:sz w:val="28"/>
          <w:szCs w:val="28"/>
        </w:rPr>
        <w:t xml:space="preserve"> </w:t>
      </w:r>
      <w:r w:rsidRPr="002C323B">
        <w:rPr>
          <w:rFonts w:ascii="Times New Roman" w:hAnsi="Times New Roman" w:cs="Times New Roman"/>
          <w:sz w:val="28"/>
          <w:szCs w:val="28"/>
        </w:rPr>
        <w:t>Данные соглашения варьируются по уровню сложности в зависимости от характера их заключения. Это могут быть договора о строительстве и обслуживании инфраструктуры, об организации вспомогательных служб (питание, транспорт и т.п.), о создании программ дополнительного образования и даже о передаче управления деятельностью учебного заведения частной организации</w:t>
      </w:r>
      <w:r>
        <w:rPr>
          <w:rFonts w:ascii="Times New Roman" w:hAnsi="Times New Roman" w:cs="Times New Roman"/>
          <w:sz w:val="28"/>
          <w:szCs w:val="28"/>
        </w:rPr>
        <w:t xml:space="preserve"> </w:t>
      </w:r>
      <w:r w:rsidRPr="009C5064">
        <w:rPr>
          <w:rFonts w:ascii="Times New Roman" w:hAnsi="Times New Roman" w:cs="Times New Roman"/>
          <w:sz w:val="28"/>
          <w:szCs w:val="28"/>
        </w:rPr>
        <w:t>[</w:t>
      </w:r>
      <w:r>
        <w:rPr>
          <w:rFonts w:ascii="Times New Roman" w:hAnsi="Times New Roman" w:cs="Times New Roman"/>
          <w:sz w:val="28"/>
          <w:szCs w:val="28"/>
        </w:rPr>
        <w:t>6</w:t>
      </w:r>
      <w:r w:rsidRPr="009C5064">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i/>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t>В России д</w:t>
      </w:r>
      <w:r w:rsidRPr="009F6734">
        <w:rPr>
          <w:rFonts w:ascii="Times New Roman" w:hAnsi="Times New Roman" w:cs="Times New Roman"/>
          <w:sz w:val="28"/>
          <w:szCs w:val="28"/>
        </w:rPr>
        <w:t>ля сферы образования, ка</w:t>
      </w:r>
      <w:r>
        <w:rPr>
          <w:rFonts w:ascii="Times New Roman" w:hAnsi="Times New Roman" w:cs="Times New Roman"/>
          <w:sz w:val="28"/>
          <w:szCs w:val="28"/>
        </w:rPr>
        <w:t>к и для всей социальной сферы</w:t>
      </w:r>
      <w:r w:rsidRPr="009F6734">
        <w:rPr>
          <w:rFonts w:ascii="Times New Roman" w:hAnsi="Times New Roman" w:cs="Times New Roman"/>
          <w:sz w:val="28"/>
          <w:szCs w:val="28"/>
        </w:rPr>
        <w:t xml:space="preserve">, характерна проблема недостаточного бюджетного финансирования. Согласно данным Всемирного банка, </w:t>
      </w:r>
      <w:proofErr w:type="gramStart"/>
      <w:r w:rsidRPr="009F6734">
        <w:rPr>
          <w:rFonts w:ascii="Times New Roman" w:hAnsi="Times New Roman" w:cs="Times New Roman"/>
          <w:sz w:val="28"/>
          <w:szCs w:val="28"/>
        </w:rPr>
        <w:t>опубликованным  в</w:t>
      </w:r>
      <w:proofErr w:type="gramEnd"/>
      <w:r w:rsidRPr="009F6734">
        <w:rPr>
          <w:rFonts w:ascii="Times New Roman" w:hAnsi="Times New Roman" w:cs="Times New Roman"/>
          <w:sz w:val="28"/>
          <w:szCs w:val="28"/>
        </w:rPr>
        <w:t xml:space="preserve"> </w:t>
      </w:r>
      <w:smartTag w:uri="urn:schemas-microsoft-com:office:smarttags" w:element="metricconverter">
        <w:smartTagPr>
          <w:attr w:name="ProductID" w:val="2014 г"/>
        </w:smartTagPr>
        <w:r w:rsidRPr="009F6734">
          <w:rPr>
            <w:rFonts w:ascii="Times New Roman" w:hAnsi="Times New Roman" w:cs="Times New Roman"/>
            <w:sz w:val="28"/>
            <w:szCs w:val="28"/>
          </w:rPr>
          <w:t>2014 г</w:t>
        </w:r>
      </w:smartTag>
      <w:r w:rsidRPr="009F6734">
        <w:rPr>
          <w:rFonts w:ascii="Times New Roman" w:hAnsi="Times New Roman" w:cs="Times New Roman"/>
          <w:sz w:val="28"/>
          <w:szCs w:val="28"/>
        </w:rPr>
        <w:t xml:space="preserve">. Россия заняла 98 место в рейтинге стран мира по уровню расходов на образование </w:t>
      </w:r>
      <w:r>
        <w:rPr>
          <w:rFonts w:ascii="Times New Roman" w:hAnsi="Times New Roman" w:cs="Times New Roman"/>
          <w:sz w:val="28"/>
          <w:szCs w:val="28"/>
        </w:rPr>
        <w:t>в процентах от ВВП (4 % от ВВП)</w:t>
      </w:r>
      <w:r w:rsidRPr="009F6734">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i/>
          <w:sz w:val="28"/>
          <w:szCs w:val="28"/>
        </w:rPr>
        <w:br/>
        <w:t xml:space="preserve"> </w:t>
      </w:r>
      <w:r>
        <w:rPr>
          <w:rFonts w:ascii="Times New Roman" w:hAnsi="Times New Roman" w:cs="Times New Roman"/>
          <w:sz w:val="28"/>
          <w:szCs w:val="28"/>
        </w:rPr>
        <w:tab/>
      </w:r>
      <w:r w:rsidRPr="003F6CCB">
        <w:rPr>
          <w:rFonts w:ascii="Times New Roman" w:hAnsi="Times New Roman" w:cs="Times New Roman"/>
          <w:sz w:val="28"/>
          <w:szCs w:val="28"/>
        </w:rPr>
        <w:t xml:space="preserve">Такой относительно небольшой объём финансирования ограничивает потенциал развития образования и нивелирует предпосылки к качественным изменениям в отрасли. Для преодоления данного ограничения следует расширить масштабы применения ГЧП в образовании. </w:t>
      </w:r>
      <w:r w:rsidRPr="003F6CCB">
        <w:rPr>
          <w:rFonts w:ascii="Times New Roman" w:hAnsi="Times New Roman" w:cs="Times New Roman"/>
          <w:sz w:val="28"/>
          <w:szCs w:val="28"/>
        </w:rPr>
        <w:br/>
      </w:r>
      <w:r>
        <w:rPr>
          <w:rFonts w:ascii="Times New Roman" w:hAnsi="Times New Roman" w:cs="Times New Roman"/>
          <w:sz w:val="28"/>
          <w:szCs w:val="28"/>
        </w:rPr>
        <w:t xml:space="preserve"> </w:t>
      </w:r>
      <w:r>
        <w:rPr>
          <w:rFonts w:ascii="Times New Roman" w:hAnsi="Times New Roman" w:cs="Times New Roman"/>
          <w:sz w:val="28"/>
          <w:szCs w:val="28"/>
        </w:rPr>
        <w:tab/>
        <w:t xml:space="preserve">На данный момент ГЧП-соглашения в образовании применяются весьма ограничено. </w:t>
      </w:r>
      <w:r w:rsidRPr="00C62DB2">
        <w:rPr>
          <w:rFonts w:ascii="Times New Roman" w:hAnsi="Times New Roman" w:cs="Times New Roman"/>
          <w:sz w:val="28"/>
          <w:szCs w:val="28"/>
        </w:rPr>
        <w:t xml:space="preserve">Согласно данным «Центра развития ГЧП», </w:t>
      </w:r>
      <w:r>
        <w:rPr>
          <w:rFonts w:ascii="Times New Roman" w:hAnsi="Times New Roman" w:cs="Times New Roman"/>
          <w:sz w:val="28"/>
          <w:szCs w:val="28"/>
        </w:rPr>
        <w:t>в</w:t>
      </w:r>
      <w:r w:rsidRPr="002C323B">
        <w:rPr>
          <w:rFonts w:ascii="Times New Roman" w:hAnsi="Times New Roman" w:cs="Times New Roman"/>
          <w:sz w:val="28"/>
          <w:szCs w:val="28"/>
        </w:rPr>
        <w:t xml:space="preserve"> России в </w:t>
      </w:r>
      <w:smartTag w:uri="urn:schemas-microsoft-com:office:smarttags" w:element="metricconverter">
        <w:smartTagPr>
          <w:attr w:name="ProductID" w:val="2015 г"/>
        </w:smartTagPr>
        <w:r w:rsidRPr="002C323B">
          <w:rPr>
            <w:rFonts w:ascii="Times New Roman" w:hAnsi="Times New Roman" w:cs="Times New Roman"/>
            <w:sz w:val="28"/>
            <w:szCs w:val="28"/>
          </w:rPr>
          <w:t>2015 г</w:t>
        </w:r>
      </w:smartTag>
      <w:r w:rsidRPr="002C323B">
        <w:rPr>
          <w:rFonts w:ascii="Times New Roman" w:hAnsi="Times New Roman" w:cs="Times New Roman"/>
          <w:sz w:val="28"/>
          <w:szCs w:val="28"/>
        </w:rPr>
        <w:t xml:space="preserve">. общее число ГЧП-проектов, прошедших стадию подписания договора, достигло 873 </w:t>
      </w:r>
      <w:r w:rsidRPr="002C323B">
        <w:rPr>
          <w:rFonts w:ascii="Times New Roman" w:hAnsi="Times New Roman" w:cs="Times New Roman"/>
          <w:sz w:val="28"/>
          <w:szCs w:val="28"/>
        </w:rPr>
        <w:lastRenderedPageBreak/>
        <w:t xml:space="preserve">соглашений. В 2016 году это значение выросло до 2183. В свою очередь на сферу образования в </w:t>
      </w:r>
      <w:smartTag w:uri="urn:schemas-microsoft-com:office:smarttags" w:element="metricconverter">
        <w:smartTagPr>
          <w:attr w:name="ProductID" w:val="2015 г"/>
        </w:smartTagPr>
        <w:r w:rsidRPr="002C323B">
          <w:rPr>
            <w:rFonts w:ascii="Times New Roman" w:hAnsi="Times New Roman" w:cs="Times New Roman"/>
            <w:sz w:val="28"/>
            <w:szCs w:val="28"/>
          </w:rPr>
          <w:t>2015 г</w:t>
        </w:r>
      </w:smartTag>
      <w:r w:rsidRPr="002C323B">
        <w:rPr>
          <w:rFonts w:ascii="Times New Roman" w:hAnsi="Times New Roman" w:cs="Times New Roman"/>
          <w:sz w:val="28"/>
          <w:szCs w:val="28"/>
        </w:rPr>
        <w:t>. пришлось 58 проектов, а в 2016 – 64 проекта</w:t>
      </w:r>
      <w:r>
        <w:rPr>
          <w:rFonts w:ascii="Times New Roman" w:hAnsi="Times New Roman" w:cs="Times New Roman"/>
          <w:sz w:val="28"/>
          <w:szCs w:val="28"/>
        </w:rPr>
        <w:t xml:space="preserve"> </w:t>
      </w:r>
      <w:r w:rsidRPr="009C5064">
        <w:rPr>
          <w:rFonts w:ascii="Times New Roman" w:hAnsi="Times New Roman" w:cs="Times New Roman"/>
          <w:sz w:val="28"/>
          <w:szCs w:val="28"/>
        </w:rPr>
        <w:t>[</w:t>
      </w:r>
      <w:r>
        <w:rPr>
          <w:rFonts w:ascii="Times New Roman" w:hAnsi="Times New Roman" w:cs="Times New Roman"/>
          <w:sz w:val="28"/>
          <w:szCs w:val="28"/>
        </w:rPr>
        <w:t>4</w:t>
      </w:r>
      <w:proofErr w:type="gramStart"/>
      <w:r w:rsidRPr="009C5064">
        <w:rPr>
          <w:rFonts w:ascii="Times New Roman" w:hAnsi="Times New Roman" w:cs="Times New Roman"/>
          <w:sz w:val="28"/>
          <w:szCs w:val="28"/>
        </w:rPr>
        <w:t>]</w:t>
      </w:r>
      <w:r w:rsidRPr="002C323B">
        <w:rPr>
          <w:rFonts w:ascii="Times New Roman" w:hAnsi="Times New Roman" w:cs="Times New Roman"/>
          <w:sz w:val="28"/>
          <w:szCs w:val="28"/>
        </w:rPr>
        <w:t xml:space="preserve">.  </w:t>
      </w:r>
      <w:proofErr w:type="gramEnd"/>
      <w:r>
        <w:rPr>
          <w:rFonts w:ascii="Times New Roman" w:hAnsi="Times New Roman" w:cs="Times New Roman"/>
          <w:sz w:val="28"/>
          <w:szCs w:val="28"/>
        </w:rPr>
        <w:br/>
        <w:t xml:space="preserve"> </w:t>
      </w:r>
      <w:r>
        <w:rPr>
          <w:rFonts w:ascii="Times New Roman" w:hAnsi="Times New Roman" w:cs="Times New Roman"/>
          <w:sz w:val="28"/>
          <w:szCs w:val="28"/>
        </w:rPr>
        <w:tab/>
      </w:r>
      <w:r w:rsidRPr="003F6CCB">
        <w:rPr>
          <w:rFonts w:ascii="Times New Roman" w:hAnsi="Times New Roman" w:cs="Times New Roman"/>
          <w:sz w:val="28"/>
          <w:szCs w:val="28"/>
        </w:rPr>
        <w:t>Малое количество и</w:t>
      </w:r>
      <w:r>
        <w:rPr>
          <w:rFonts w:ascii="Times New Roman" w:hAnsi="Times New Roman" w:cs="Times New Roman"/>
          <w:i/>
          <w:sz w:val="28"/>
          <w:szCs w:val="28"/>
        </w:rPr>
        <w:t xml:space="preserve"> </w:t>
      </w:r>
      <w:r>
        <w:rPr>
          <w:rFonts w:ascii="Times New Roman" w:hAnsi="Times New Roman" w:cs="Times New Roman"/>
          <w:sz w:val="28"/>
          <w:szCs w:val="28"/>
        </w:rPr>
        <w:t>н</w:t>
      </w:r>
      <w:r w:rsidRPr="002C323B">
        <w:rPr>
          <w:rFonts w:ascii="Times New Roman" w:hAnsi="Times New Roman" w:cs="Times New Roman"/>
          <w:sz w:val="28"/>
          <w:szCs w:val="28"/>
        </w:rPr>
        <w:t>аблюдаемый небольшой рост</w:t>
      </w:r>
      <w:r>
        <w:rPr>
          <w:rFonts w:ascii="Times New Roman" w:hAnsi="Times New Roman" w:cs="Times New Roman"/>
          <w:sz w:val="28"/>
          <w:szCs w:val="28"/>
        </w:rPr>
        <w:t xml:space="preserve"> числа проектов</w:t>
      </w:r>
      <w:r w:rsidRPr="002C323B">
        <w:rPr>
          <w:rFonts w:ascii="Times New Roman" w:hAnsi="Times New Roman" w:cs="Times New Roman"/>
          <w:sz w:val="28"/>
          <w:szCs w:val="28"/>
        </w:rPr>
        <w:t xml:space="preserve"> в сфере образования говорит о том, что развитие ГЧП в данной отрасли находится в зачаточном состоянии. Однако, широкое применение ГЧП в образовании за рубежом</w:t>
      </w:r>
      <w:r>
        <w:rPr>
          <w:rFonts w:ascii="Times New Roman" w:hAnsi="Times New Roman" w:cs="Times New Roman"/>
          <w:sz w:val="28"/>
          <w:szCs w:val="28"/>
        </w:rPr>
        <w:t>,</w:t>
      </w:r>
      <w:r w:rsidRPr="00F222FC">
        <w:rPr>
          <w:rFonts w:ascii="Times New Roman" w:hAnsi="Times New Roman" w:cs="Times New Roman"/>
          <w:sz w:val="28"/>
          <w:szCs w:val="28"/>
        </w:rPr>
        <w:t xml:space="preserve"> </w:t>
      </w:r>
      <w:r>
        <w:rPr>
          <w:rFonts w:ascii="Times New Roman" w:hAnsi="Times New Roman" w:cs="Times New Roman"/>
          <w:sz w:val="28"/>
          <w:szCs w:val="28"/>
        </w:rPr>
        <w:t xml:space="preserve">свидетельствует о </w:t>
      </w:r>
      <w:proofErr w:type="spellStart"/>
      <w:r w:rsidRPr="002C323B">
        <w:rPr>
          <w:rFonts w:ascii="Times New Roman" w:hAnsi="Times New Roman" w:cs="Times New Roman"/>
          <w:sz w:val="28"/>
          <w:szCs w:val="28"/>
        </w:rPr>
        <w:t>бо</w:t>
      </w:r>
      <w:r>
        <w:rPr>
          <w:rFonts w:ascii="Times New Roman" w:hAnsi="Times New Roman" w:cs="Times New Roman"/>
          <w:sz w:val="28"/>
          <w:szCs w:val="28"/>
        </w:rPr>
        <w:t>́</w:t>
      </w:r>
      <w:r w:rsidRPr="002C323B">
        <w:rPr>
          <w:rFonts w:ascii="Times New Roman" w:hAnsi="Times New Roman" w:cs="Times New Roman"/>
          <w:sz w:val="28"/>
          <w:szCs w:val="28"/>
        </w:rPr>
        <w:t>льш</w:t>
      </w:r>
      <w:r>
        <w:rPr>
          <w:rFonts w:ascii="Times New Roman" w:hAnsi="Times New Roman" w:cs="Times New Roman"/>
          <w:sz w:val="28"/>
          <w:szCs w:val="28"/>
        </w:rPr>
        <w:t>е</w:t>
      </w:r>
      <w:r w:rsidRPr="002C323B">
        <w:rPr>
          <w:rFonts w:ascii="Times New Roman" w:hAnsi="Times New Roman" w:cs="Times New Roman"/>
          <w:sz w:val="28"/>
          <w:szCs w:val="28"/>
        </w:rPr>
        <w:t>м</w:t>
      </w:r>
      <w:proofErr w:type="spellEnd"/>
      <w:r w:rsidRPr="002C323B">
        <w:rPr>
          <w:rFonts w:ascii="Times New Roman" w:hAnsi="Times New Roman" w:cs="Times New Roman"/>
          <w:sz w:val="28"/>
          <w:szCs w:val="28"/>
        </w:rPr>
        <w:t xml:space="preserve"> потенциал</w:t>
      </w:r>
      <w:r>
        <w:rPr>
          <w:rFonts w:ascii="Times New Roman" w:hAnsi="Times New Roman" w:cs="Times New Roman"/>
          <w:sz w:val="28"/>
          <w:szCs w:val="28"/>
        </w:rPr>
        <w:t>е</w:t>
      </w:r>
      <w:r w:rsidRPr="002C323B">
        <w:rPr>
          <w:rFonts w:ascii="Times New Roman" w:hAnsi="Times New Roman" w:cs="Times New Roman"/>
          <w:sz w:val="28"/>
          <w:szCs w:val="28"/>
        </w:rPr>
        <w:t xml:space="preserve"> роста </w:t>
      </w:r>
      <w:r>
        <w:rPr>
          <w:rFonts w:ascii="Times New Roman" w:hAnsi="Times New Roman" w:cs="Times New Roman"/>
          <w:sz w:val="28"/>
          <w:szCs w:val="28"/>
        </w:rPr>
        <w:t>в данном направлении</w:t>
      </w:r>
      <w:r w:rsidRPr="009C5064">
        <w:rPr>
          <w:rFonts w:ascii="Times New Roman" w:hAnsi="Times New Roman" w:cs="Times New Roman"/>
          <w:sz w:val="28"/>
          <w:szCs w:val="28"/>
        </w:rPr>
        <w:t>.</w:t>
      </w:r>
      <w:r>
        <w:rPr>
          <w:rFonts w:ascii="Times New Roman" w:hAnsi="Times New Roman" w:cs="Times New Roman"/>
          <w:i/>
          <w:sz w:val="28"/>
          <w:szCs w:val="28"/>
        </w:rPr>
        <w:br/>
        <w:t xml:space="preserve"> </w:t>
      </w:r>
      <w:r>
        <w:rPr>
          <w:rFonts w:ascii="Times New Roman" w:hAnsi="Times New Roman" w:cs="Times New Roman"/>
          <w:i/>
          <w:sz w:val="28"/>
          <w:szCs w:val="28"/>
        </w:rPr>
        <w:tab/>
      </w:r>
      <w:r>
        <w:rPr>
          <w:rFonts w:ascii="Times New Roman" w:hAnsi="Times New Roman" w:cs="Times New Roman"/>
          <w:sz w:val="28"/>
          <w:szCs w:val="28"/>
        </w:rPr>
        <w:t>Всестороннее внедрение ГЧП в образование долгий и сложный процесс, на пути которого лежат свои подводные камни.</w:t>
      </w:r>
      <w:r>
        <w:rPr>
          <w:rFonts w:ascii="Times New Roman" w:hAnsi="Times New Roman" w:cs="Times New Roman"/>
          <w:sz w:val="28"/>
          <w:szCs w:val="28"/>
        </w:rPr>
        <w:br/>
      </w:r>
      <w:r>
        <w:rPr>
          <w:rFonts w:ascii="Times New Roman" w:hAnsi="Times New Roman" w:cs="Times New Roman"/>
          <w:sz w:val="28"/>
          <w:szCs w:val="28"/>
        </w:rPr>
        <w:tab/>
        <w:t>Например, сотрудники образовательных учреждений и потребители образовательных услуг, привыкшие к государственному статусу учебных заведений и связанных с ними структур, могут воспротивиться внедрению ГЧП.</w:t>
      </w:r>
      <w:r>
        <w:rPr>
          <w:rFonts w:ascii="Times New Roman" w:hAnsi="Times New Roman" w:cs="Times New Roman"/>
          <w:sz w:val="28"/>
          <w:szCs w:val="28"/>
        </w:rPr>
        <w:br/>
      </w:r>
      <w:r>
        <w:rPr>
          <w:rFonts w:ascii="Times New Roman" w:hAnsi="Times New Roman" w:cs="Times New Roman"/>
          <w:sz w:val="28"/>
          <w:szCs w:val="28"/>
        </w:rPr>
        <w:tab/>
      </w:r>
      <w:r w:rsidRPr="00430692">
        <w:rPr>
          <w:rFonts w:ascii="Times New Roman" w:hAnsi="Times New Roman" w:cs="Times New Roman"/>
          <w:sz w:val="28"/>
          <w:szCs w:val="28"/>
        </w:rPr>
        <w:t>Для повышения уровня доверия к подобным соглашениям следует сделать ГЧП-проекты максимально прозрачными для всех заинтересованных сторон. Организации, занимающиеся ГЧП-проектами дол</w:t>
      </w:r>
      <w:r>
        <w:rPr>
          <w:rFonts w:ascii="Times New Roman" w:hAnsi="Times New Roman" w:cs="Times New Roman"/>
          <w:sz w:val="28"/>
          <w:szCs w:val="28"/>
        </w:rPr>
        <w:t xml:space="preserve">жны включать </w:t>
      </w:r>
      <w:proofErr w:type="spellStart"/>
      <w:r>
        <w:rPr>
          <w:rFonts w:ascii="Times New Roman" w:hAnsi="Times New Roman" w:cs="Times New Roman"/>
          <w:sz w:val="28"/>
          <w:szCs w:val="28"/>
        </w:rPr>
        <w:t>стейк</w:t>
      </w:r>
      <w:r w:rsidRPr="00430692">
        <w:rPr>
          <w:rFonts w:ascii="Times New Roman" w:hAnsi="Times New Roman" w:cs="Times New Roman"/>
          <w:sz w:val="28"/>
          <w:szCs w:val="28"/>
        </w:rPr>
        <w:t>холдеров</w:t>
      </w:r>
      <w:proofErr w:type="spellEnd"/>
      <w:r w:rsidRPr="00430692">
        <w:rPr>
          <w:rFonts w:ascii="Times New Roman" w:hAnsi="Times New Roman" w:cs="Times New Roman"/>
          <w:sz w:val="28"/>
          <w:szCs w:val="28"/>
        </w:rPr>
        <w:t xml:space="preserve"> в процесс принятия решений, обсуждая с ними проект и предоставляя им всю необходимую информацию о его статусе. </w:t>
      </w:r>
      <w:r w:rsidRPr="00430692">
        <w:rPr>
          <w:rFonts w:ascii="Times New Roman" w:hAnsi="Times New Roman" w:cs="Times New Roman"/>
          <w:sz w:val="28"/>
          <w:szCs w:val="28"/>
        </w:rPr>
        <w:br/>
        <w:t xml:space="preserve"> </w:t>
      </w:r>
      <w:r w:rsidRPr="00430692">
        <w:rPr>
          <w:rFonts w:ascii="Times New Roman" w:hAnsi="Times New Roman" w:cs="Times New Roman"/>
          <w:sz w:val="28"/>
          <w:szCs w:val="28"/>
        </w:rPr>
        <w:tab/>
        <w:t>Другим препятствием является неготовность системы образования к подобной перестройке. Вместе с совершенствованием федерального должно произойти совершенствование отраслевого законодательства, созданы нормы и процедуры для заключения соглашений о ГЧП в сфере образования.</w:t>
      </w:r>
      <w:r w:rsidRPr="00430692">
        <w:rPr>
          <w:rFonts w:ascii="Times New Roman" w:hAnsi="Times New Roman" w:cs="Times New Roman"/>
          <w:sz w:val="28"/>
          <w:szCs w:val="28"/>
        </w:rPr>
        <w:br/>
        <w:t xml:space="preserve"> </w:t>
      </w:r>
      <w:r w:rsidRPr="00430692">
        <w:rPr>
          <w:rFonts w:ascii="Times New Roman" w:hAnsi="Times New Roman" w:cs="Times New Roman"/>
          <w:sz w:val="28"/>
          <w:szCs w:val="28"/>
        </w:rPr>
        <w:tab/>
        <w:t>Контроль качества один из основных факторов развития ГЧП в образовании. В рамках сотрудничества государства и частного сектора в данной сфере должны быть созданы органы, которые будут строго следить за выполнением обязательств каждой из сторо</w:t>
      </w:r>
      <w:r>
        <w:rPr>
          <w:rFonts w:ascii="Times New Roman" w:hAnsi="Times New Roman" w:cs="Times New Roman"/>
          <w:sz w:val="28"/>
          <w:szCs w:val="28"/>
        </w:rPr>
        <w:t>н и качеством выполняемых работ</w:t>
      </w:r>
      <w:r w:rsidRPr="00430692">
        <w:rPr>
          <w:rFonts w:ascii="Times New Roman" w:hAnsi="Times New Roman" w:cs="Times New Roman"/>
          <w:sz w:val="28"/>
          <w:szCs w:val="28"/>
        </w:rPr>
        <w:t xml:space="preserve"> </w:t>
      </w:r>
      <w:r w:rsidRPr="006E50B7">
        <w:rPr>
          <w:rFonts w:ascii="Times New Roman" w:hAnsi="Times New Roman" w:cs="Times New Roman"/>
          <w:sz w:val="28"/>
          <w:szCs w:val="28"/>
        </w:rPr>
        <w:t>[</w:t>
      </w:r>
      <w:r>
        <w:rPr>
          <w:rFonts w:ascii="Times New Roman" w:hAnsi="Times New Roman" w:cs="Times New Roman"/>
          <w:sz w:val="28"/>
          <w:szCs w:val="28"/>
        </w:rPr>
        <w:t>6</w:t>
      </w:r>
      <w:r w:rsidRPr="006E50B7">
        <w:rPr>
          <w:rFonts w:ascii="Times New Roman" w:hAnsi="Times New Roman" w:cs="Times New Roman"/>
          <w:sz w:val="28"/>
          <w:szCs w:val="28"/>
        </w:rPr>
        <w:t>].</w:t>
      </w:r>
      <w:r>
        <w:rPr>
          <w:rFonts w:ascii="Times New Roman" w:hAnsi="Times New Roman" w:cs="Times New Roman"/>
          <w:sz w:val="28"/>
          <w:szCs w:val="28"/>
        </w:rPr>
        <w:br/>
        <w:t xml:space="preserve"> </w:t>
      </w:r>
      <w:r>
        <w:rPr>
          <w:rFonts w:ascii="Times New Roman" w:hAnsi="Times New Roman" w:cs="Times New Roman"/>
          <w:sz w:val="28"/>
          <w:szCs w:val="28"/>
        </w:rPr>
        <w:tab/>
      </w:r>
      <w:r w:rsidRPr="002C323B">
        <w:rPr>
          <w:rFonts w:ascii="Times New Roman" w:hAnsi="Times New Roman" w:cs="Times New Roman"/>
          <w:sz w:val="28"/>
          <w:szCs w:val="28"/>
        </w:rPr>
        <w:t xml:space="preserve">Внедрение ГЧП в образовательную сферу позволит подстегнуть рост данной отрасли и вывести её на новый виток развития. Для этого ГЧП-проекты должны отвечать высоким требованиям к качеству и доступности образовательных услуг. Дальнейшее развитие ГЧП облегчит поиск финансирования для программ и </w:t>
      </w:r>
      <w:r w:rsidRPr="002C323B">
        <w:rPr>
          <w:rFonts w:ascii="Times New Roman" w:hAnsi="Times New Roman" w:cs="Times New Roman"/>
          <w:sz w:val="28"/>
          <w:szCs w:val="28"/>
        </w:rPr>
        <w:lastRenderedPageBreak/>
        <w:t xml:space="preserve">проектов научного характера, позволит улучшить материальное положение учащихся и усовершенствовать материальную базу образовательных учреждений. </w:t>
      </w:r>
    </w:p>
    <w:p w:rsidR="0022696B" w:rsidRDefault="00E02AB6" w:rsidP="00A90B32">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Pr="00E02AB6">
        <w:rPr>
          <w:rFonts w:ascii="Times New Roman" w:eastAsia="Calibri" w:hAnsi="Times New Roman" w:cs="Times New Roman"/>
          <w:b/>
          <w:sz w:val="28"/>
          <w:szCs w:val="28"/>
        </w:rPr>
        <w:t>Библиографический список</w:t>
      </w:r>
    </w:p>
    <w:p w:rsidR="00E02AB6" w:rsidRPr="00E02AB6" w:rsidRDefault="00E02AB6" w:rsidP="00A90B32">
      <w:pPr>
        <w:spacing w:after="0" w:line="360" w:lineRule="auto"/>
        <w:jc w:val="both"/>
        <w:rPr>
          <w:rFonts w:ascii="Times New Roman" w:eastAsia="Calibri" w:hAnsi="Times New Roman" w:cs="Times New Roman"/>
          <w:b/>
          <w:sz w:val="28"/>
          <w:szCs w:val="28"/>
        </w:rPr>
      </w:pPr>
    </w:p>
    <w:p w:rsidR="0022696B" w:rsidRPr="00E02AB6" w:rsidRDefault="0022696B" w:rsidP="00A90B32">
      <w:pPr>
        <w:spacing w:after="0" w:line="360" w:lineRule="auto"/>
        <w:ind w:firstLine="709"/>
        <w:jc w:val="both"/>
        <w:rPr>
          <w:rFonts w:ascii="Times New Roman" w:eastAsia="Calibri" w:hAnsi="Times New Roman" w:cs="Times New Roman"/>
          <w:spacing w:val="-4"/>
          <w:sz w:val="28"/>
          <w:szCs w:val="28"/>
        </w:rPr>
      </w:pPr>
      <w:r w:rsidRPr="00E02AB6">
        <w:rPr>
          <w:rFonts w:ascii="Times New Roman" w:eastAsia="Calibri" w:hAnsi="Times New Roman" w:cs="Times New Roman"/>
          <w:spacing w:val="-4"/>
          <w:sz w:val="28"/>
          <w:szCs w:val="28"/>
        </w:rPr>
        <w:t xml:space="preserve">1. О государственно-частном партнерстве, </w:t>
      </w:r>
      <w:proofErr w:type="spellStart"/>
      <w:r w:rsidRPr="00E02AB6">
        <w:rPr>
          <w:rFonts w:ascii="Times New Roman" w:eastAsia="Calibri" w:hAnsi="Times New Roman" w:cs="Times New Roman"/>
          <w:spacing w:val="-4"/>
          <w:sz w:val="28"/>
          <w:szCs w:val="28"/>
        </w:rPr>
        <w:t>муниципально</w:t>
      </w:r>
      <w:proofErr w:type="spellEnd"/>
      <w:r w:rsidRPr="00E02AB6">
        <w:rPr>
          <w:rFonts w:ascii="Times New Roman" w:eastAsia="Calibri" w:hAnsi="Times New Roman" w:cs="Times New Roman"/>
          <w:spacing w:val="-4"/>
          <w:sz w:val="28"/>
          <w:szCs w:val="28"/>
        </w:rPr>
        <w:t xml:space="preserve">-частном партнерстве в Российской Федерации и внесении изменений в отдельные законодательные акты Российской Федерации: федеральный закон </w:t>
      </w:r>
      <w:r w:rsidRPr="00E02AB6">
        <w:rPr>
          <w:rFonts w:ascii="Times New Roman" w:eastAsia="Calibri" w:hAnsi="Times New Roman" w:cs="Times New Roman"/>
          <w:spacing w:val="-4"/>
          <w:sz w:val="28"/>
          <w:szCs w:val="28"/>
          <w:lang w:val="en-US"/>
        </w:rPr>
        <w:t>N</w:t>
      </w:r>
      <w:r w:rsidRPr="00E02AB6">
        <w:rPr>
          <w:rFonts w:ascii="Times New Roman" w:eastAsia="Calibri" w:hAnsi="Times New Roman" w:cs="Times New Roman"/>
          <w:spacing w:val="-4"/>
          <w:sz w:val="28"/>
          <w:szCs w:val="28"/>
        </w:rPr>
        <w:t xml:space="preserve"> 224-ФЗ от 13 июля 2015 г.// Российская газета. 2015. 17 июля. С.1.</w:t>
      </w:r>
      <w:r w:rsidRPr="00E02AB6">
        <w:rPr>
          <w:rFonts w:ascii="Times New Roman" w:eastAsia="Calibri" w:hAnsi="Times New Roman" w:cs="Times New Roman"/>
          <w:spacing w:val="-4"/>
          <w:sz w:val="28"/>
          <w:szCs w:val="28"/>
        </w:rPr>
        <w:br/>
        <w:t xml:space="preserve"> </w:t>
      </w:r>
      <w:r w:rsidRPr="00E02AB6">
        <w:rPr>
          <w:rFonts w:ascii="Times New Roman" w:eastAsia="Calibri" w:hAnsi="Times New Roman" w:cs="Times New Roman"/>
          <w:spacing w:val="-4"/>
          <w:sz w:val="28"/>
          <w:szCs w:val="28"/>
        </w:rPr>
        <w:tab/>
        <w:t xml:space="preserve">2. Беденко Н. Н., Никитенко О. С. Исследование уровня развития государственно-частного партнерства: регионально-отраслевой срез // Актуальные проблемы управления: теория и практика: материалы  II </w:t>
      </w:r>
      <w:proofErr w:type="spellStart"/>
      <w:r w:rsidRPr="00E02AB6">
        <w:rPr>
          <w:rFonts w:ascii="Times New Roman" w:eastAsia="Calibri" w:hAnsi="Times New Roman" w:cs="Times New Roman"/>
          <w:spacing w:val="-4"/>
          <w:sz w:val="28"/>
          <w:szCs w:val="28"/>
        </w:rPr>
        <w:t>Междунар</w:t>
      </w:r>
      <w:proofErr w:type="spellEnd"/>
      <w:r w:rsidRPr="00E02AB6">
        <w:rPr>
          <w:rFonts w:ascii="Times New Roman" w:eastAsia="Calibri" w:hAnsi="Times New Roman" w:cs="Times New Roman"/>
          <w:spacing w:val="-4"/>
          <w:sz w:val="28"/>
          <w:szCs w:val="28"/>
        </w:rPr>
        <w:t>. науч.-</w:t>
      </w:r>
      <w:proofErr w:type="spellStart"/>
      <w:r w:rsidRPr="00E02AB6">
        <w:rPr>
          <w:rFonts w:ascii="Times New Roman" w:eastAsia="Calibri" w:hAnsi="Times New Roman" w:cs="Times New Roman"/>
          <w:spacing w:val="-4"/>
          <w:sz w:val="28"/>
          <w:szCs w:val="28"/>
        </w:rPr>
        <w:t>практ</w:t>
      </w:r>
      <w:proofErr w:type="spellEnd"/>
      <w:r w:rsidRPr="00E02AB6">
        <w:rPr>
          <w:rFonts w:ascii="Times New Roman" w:eastAsia="Calibri" w:hAnsi="Times New Roman" w:cs="Times New Roman"/>
          <w:spacing w:val="-4"/>
          <w:sz w:val="28"/>
          <w:szCs w:val="28"/>
        </w:rPr>
        <w:t xml:space="preserve">. </w:t>
      </w:r>
      <w:proofErr w:type="spellStart"/>
      <w:r w:rsidRPr="00E02AB6">
        <w:rPr>
          <w:rFonts w:ascii="Times New Roman" w:eastAsia="Calibri" w:hAnsi="Times New Roman" w:cs="Times New Roman"/>
          <w:spacing w:val="-4"/>
          <w:sz w:val="28"/>
          <w:szCs w:val="28"/>
        </w:rPr>
        <w:t>заоч</w:t>
      </w:r>
      <w:proofErr w:type="spellEnd"/>
      <w:r w:rsidRPr="00E02AB6">
        <w:rPr>
          <w:rFonts w:ascii="Times New Roman" w:eastAsia="Calibri" w:hAnsi="Times New Roman" w:cs="Times New Roman"/>
          <w:spacing w:val="-4"/>
          <w:sz w:val="28"/>
          <w:szCs w:val="28"/>
        </w:rPr>
        <w:t xml:space="preserve">. </w:t>
      </w:r>
      <w:proofErr w:type="spellStart"/>
      <w:r w:rsidRPr="00E02AB6">
        <w:rPr>
          <w:rFonts w:ascii="Times New Roman" w:eastAsia="Calibri" w:hAnsi="Times New Roman" w:cs="Times New Roman"/>
          <w:spacing w:val="-4"/>
          <w:sz w:val="28"/>
          <w:szCs w:val="28"/>
        </w:rPr>
        <w:t>конф</w:t>
      </w:r>
      <w:proofErr w:type="spellEnd"/>
      <w:r w:rsidRPr="00E02AB6">
        <w:rPr>
          <w:rFonts w:ascii="Times New Roman" w:eastAsia="Calibri" w:hAnsi="Times New Roman" w:cs="Times New Roman"/>
          <w:spacing w:val="-4"/>
          <w:sz w:val="28"/>
          <w:szCs w:val="28"/>
        </w:rPr>
        <w:t xml:space="preserve">.– Тверь: </w:t>
      </w:r>
      <w:proofErr w:type="spellStart"/>
      <w:r w:rsidRPr="00E02AB6">
        <w:rPr>
          <w:rFonts w:ascii="Times New Roman" w:eastAsia="Calibri" w:hAnsi="Times New Roman" w:cs="Times New Roman"/>
          <w:spacing w:val="-4"/>
          <w:sz w:val="28"/>
          <w:szCs w:val="28"/>
        </w:rPr>
        <w:t>Твер</w:t>
      </w:r>
      <w:proofErr w:type="spellEnd"/>
      <w:r w:rsidRPr="00E02AB6">
        <w:rPr>
          <w:rFonts w:ascii="Times New Roman" w:eastAsia="Calibri" w:hAnsi="Times New Roman" w:cs="Times New Roman"/>
          <w:spacing w:val="-4"/>
          <w:sz w:val="28"/>
          <w:szCs w:val="28"/>
        </w:rPr>
        <w:t xml:space="preserve">. гос. ун-т, 2015. – </w:t>
      </w:r>
      <w:proofErr w:type="spellStart"/>
      <w:r w:rsidRPr="00E02AB6">
        <w:rPr>
          <w:rFonts w:ascii="Times New Roman" w:eastAsia="Calibri" w:hAnsi="Times New Roman" w:cs="Times New Roman"/>
          <w:spacing w:val="-4"/>
          <w:sz w:val="28"/>
          <w:szCs w:val="28"/>
        </w:rPr>
        <w:t>Вып</w:t>
      </w:r>
      <w:proofErr w:type="spellEnd"/>
      <w:r w:rsidRPr="00E02AB6">
        <w:rPr>
          <w:rFonts w:ascii="Times New Roman" w:eastAsia="Calibri" w:hAnsi="Times New Roman" w:cs="Times New Roman"/>
          <w:spacing w:val="-4"/>
          <w:sz w:val="28"/>
          <w:szCs w:val="28"/>
        </w:rPr>
        <w:t>. 2. С. 21-29.</w:t>
      </w:r>
    </w:p>
    <w:p w:rsidR="0022696B" w:rsidRPr="00E02AB6" w:rsidRDefault="0022696B" w:rsidP="00A90B32">
      <w:pPr>
        <w:spacing w:after="0" w:line="360" w:lineRule="auto"/>
        <w:ind w:firstLine="709"/>
        <w:jc w:val="both"/>
        <w:rPr>
          <w:rFonts w:ascii="Times New Roman" w:eastAsia="Calibri" w:hAnsi="Times New Roman" w:cs="Times New Roman"/>
          <w:spacing w:val="-4"/>
          <w:sz w:val="28"/>
          <w:szCs w:val="28"/>
        </w:rPr>
      </w:pPr>
      <w:r w:rsidRPr="00E02AB6">
        <w:rPr>
          <w:rFonts w:ascii="Times New Roman" w:eastAsia="Calibri" w:hAnsi="Times New Roman" w:cs="Times New Roman"/>
          <w:spacing w:val="-4"/>
          <w:sz w:val="28"/>
          <w:szCs w:val="28"/>
        </w:rPr>
        <w:t xml:space="preserve">3. </w:t>
      </w:r>
      <w:proofErr w:type="spellStart"/>
      <w:r w:rsidRPr="00E02AB6">
        <w:rPr>
          <w:rFonts w:ascii="Times New Roman" w:eastAsia="Calibri" w:hAnsi="Times New Roman" w:cs="Times New Roman"/>
          <w:spacing w:val="-4"/>
          <w:sz w:val="28"/>
          <w:szCs w:val="28"/>
        </w:rPr>
        <w:t>Генг</w:t>
      </w:r>
      <w:proofErr w:type="spellEnd"/>
      <w:r w:rsidRPr="00E02AB6">
        <w:rPr>
          <w:rFonts w:ascii="Times New Roman" w:eastAsia="Calibri" w:hAnsi="Times New Roman" w:cs="Times New Roman"/>
          <w:spacing w:val="-4"/>
          <w:sz w:val="28"/>
          <w:szCs w:val="28"/>
        </w:rPr>
        <w:t xml:space="preserve"> В.А., Андреева А. В. Региональный опыт применения государственно-частного партнёрства в экономике (на примере Тверской области)// Вестник факультета управления </w:t>
      </w:r>
      <w:proofErr w:type="spellStart"/>
      <w:r w:rsidRPr="00E02AB6">
        <w:rPr>
          <w:rFonts w:ascii="Times New Roman" w:eastAsia="Calibri" w:hAnsi="Times New Roman" w:cs="Times New Roman"/>
          <w:spacing w:val="-4"/>
          <w:sz w:val="28"/>
          <w:szCs w:val="28"/>
        </w:rPr>
        <w:t>СПбГЭУ</w:t>
      </w:r>
      <w:proofErr w:type="spellEnd"/>
      <w:r w:rsidRPr="00E02AB6">
        <w:rPr>
          <w:rFonts w:ascii="Times New Roman" w:eastAsia="Calibri" w:hAnsi="Times New Roman" w:cs="Times New Roman"/>
          <w:spacing w:val="-4"/>
          <w:sz w:val="28"/>
          <w:szCs w:val="28"/>
        </w:rPr>
        <w:t>. 2017. № 1-1. С. 89-94.</w:t>
      </w:r>
    </w:p>
    <w:p w:rsidR="0022696B" w:rsidRPr="00E02AB6" w:rsidRDefault="0022696B" w:rsidP="00A90B32">
      <w:pPr>
        <w:spacing w:after="0" w:line="360" w:lineRule="auto"/>
        <w:ind w:firstLine="709"/>
        <w:jc w:val="both"/>
        <w:rPr>
          <w:rFonts w:ascii="Times New Roman" w:eastAsia="Calibri" w:hAnsi="Times New Roman" w:cs="Times New Roman"/>
          <w:spacing w:val="-4"/>
          <w:sz w:val="28"/>
          <w:szCs w:val="28"/>
        </w:rPr>
      </w:pPr>
      <w:r w:rsidRPr="00E02AB6">
        <w:rPr>
          <w:rFonts w:ascii="Times New Roman" w:eastAsia="Calibri" w:hAnsi="Times New Roman" w:cs="Times New Roman"/>
          <w:spacing w:val="-4"/>
          <w:sz w:val="28"/>
          <w:szCs w:val="28"/>
        </w:rPr>
        <w:t>4. Исследование «Государственно – частное партнерство в России в 2016 – 2017 годах: текущее состояние и тренды, рейтинг регионов» / Ассоциация «Центр развития ГЧП», Министерство экономического развития Российской Федерации. – М.: Ассоциация «Центр развития ГЧП», 2016. –  32 с.</w:t>
      </w:r>
      <w:r w:rsidRPr="00E02AB6">
        <w:rPr>
          <w:rFonts w:ascii="Times New Roman" w:eastAsia="Calibri" w:hAnsi="Times New Roman" w:cs="Times New Roman"/>
          <w:spacing w:val="-4"/>
          <w:sz w:val="28"/>
          <w:szCs w:val="28"/>
        </w:rPr>
        <w:tab/>
      </w:r>
      <w:r w:rsidRPr="00E02AB6">
        <w:rPr>
          <w:rFonts w:ascii="Times New Roman" w:eastAsia="Calibri" w:hAnsi="Times New Roman" w:cs="Times New Roman"/>
          <w:spacing w:val="-4"/>
          <w:sz w:val="28"/>
          <w:szCs w:val="28"/>
        </w:rPr>
        <w:br/>
        <w:t xml:space="preserve"> </w:t>
      </w:r>
      <w:r w:rsidRPr="00E02AB6">
        <w:rPr>
          <w:rFonts w:ascii="Times New Roman" w:eastAsia="Calibri" w:hAnsi="Times New Roman" w:cs="Times New Roman"/>
          <w:spacing w:val="-4"/>
          <w:sz w:val="28"/>
          <w:szCs w:val="28"/>
        </w:rPr>
        <w:tab/>
        <w:t>5. Сайт Национального центра развития государственно-частного партнёрства  [Электронный ресурс] – Режим доступа: http://pppcenter.ru/ – Дата доступа: 14.09.2017.</w:t>
      </w:r>
    </w:p>
    <w:p w:rsidR="0022696B" w:rsidRPr="00674D25" w:rsidRDefault="0022696B" w:rsidP="00A90B32">
      <w:pPr>
        <w:spacing w:after="0" w:line="360" w:lineRule="auto"/>
        <w:ind w:firstLine="709"/>
        <w:jc w:val="both"/>
        <w:rPr>
          <w:rFonts w:ascii="Times New Roman" w:eastAsia="Calibri" w:hAnsi="Times New Roman" w:cs="Times New Roman"/>
          <w:spacing w:val="-4"/>
          <w:sz w:val="28"/>
          <w:szCs w:val="28"/>
          <w:lang w:val="en-US"/>
        </w:rPr>
      </w:pPr>
      <w:r w:rsidRPr="00E02AB6">
        <w:rPr>
          <w:rFonts w:ascii="Times New Roman" w:eastAsia="Calibri" w:hAnsi="Times New Roman" w:cs="Times New Roman"/>
          <w:spacing w:val="-4"/>
          <w:sz w:val="28"/>
          <w:szCs w:val="28"/>
          <w:lang w:val="en-US"/>
        </w:rPr>
        <w:t xml:space="preserve">6. </w:t>
      </w:r>
      <w:r w:rsidRPr="00E02AB6">
        <w:rPr>
          <w:sz w:val="28"/>
          <w:szCs w:val="28"/>
          <w:lang w:val="en-US"/>
        </w:rPr>
        <w:t xml:space="preserve"> </w:t>
      </w:r>
      <w:proofErr w:type="spellStart"/>
      <w:r w:rsidRPr="00E02AB6">
        <w:rPr>
          <w:rFonts w:ascii="Times New Roman" w:eastAsia="Calibri" w:hAnsi="Times New Roman" w:cs="Times New Roman"/>
          <w:spacing w:val="-4"/>
          <w:sz w:val="28"/>
          <w:szCs w:val="28"/>
          <w:lang w:val="en-US"/>
        </w:rPr>
        <w:t>Patrinos</w:t>
      </w:r>
      <w:proofErr w:type="spellEnd"/>
      <w:r w:rsidRPr="00E02AB6">
        <w:rPr>
          <w:rFonts w:ascii="Times New Roman" w:eastAsia="Calibri" w:hAnsi="Times New Roman" w:cs="Times New Roman"/>
          <w:spacing w:val="-4"/>
          <w:sz w:val="28"/>
          <w:szCs w:val="28"/>
          <w:lang w:val="en-US"/>
        </w:rPr>
        <w:t xml:space="preserve">, H. A. The Role and Impact of Public-Private Partnerships in Education / H.A. </w:t>
      </w:r>
      <w:proofErr w:type="spellStart"/>
      <w:r w:rsidRPr="00E02AB6">
        <w:rPr>
          <w:rFonts w:ascii="Times New Roman" w:eastAsia="Calibri" w:hAnsi="Times New Roman" w:cs="Times New Roman"/>
          <w:spacing w:val="-4"/>
          <w:sz w:val="28"/>
          <w:szCs w:val="28"/>
          <w:lang w:val="en-US"/>
        </w:rPr>
        <w:t>Patrinos</w:t>
      </w:r>
      <w:proofErr w:type="spellEnd"/>
      <w:r w:rsidRPr="00E02AB6">
        <w:rPr>
          <w:rFonts w:ascii="Times New Roman" w:eastAsia="Calibri" w:hAnsi="Times New Roman" w:cs="Times New Roman"/>
          <w:spacing w:val="-4"/>
          <w:sz w:val="28"/>
          <w:szCs w:val="28"/>
          <w:lang w:val="en-US"/>
        </w:rPr>
        <w:t xml:space="preserve">, F. Barrera-Osorio, J. </w:t>
      </w:r>
      <w:proofErr w:type="spellStart"/>
      <w:r w:rsidRPr="00E02AB6">
        <w:rPr>
          <w:rFonts w:ascii="Times New Roman" w:eastAsia="Calibri" w:hAnsi="Times New Roman" w:cs="Times New Roman"/>
          <w:spacing w:val="-4"/>
          <w:sz w:val="28"/>
          <w:szCs w:val="28"/>
          <w:lang w:val="en-US"/>
        </w:rPr>
        <w:t>Guáqueta</w:t>
      </w:r>
      <w:proofErr w:type="spellEnd"/>
      <w:r w:rsidRPr="00E02AB6">
        <w:rPr>
          <w:rFonts w:ascii="Times New Roman" w:eastAsia="Calibri" w:hAnsi="Times New Roman" w:cs="Times New Roman"/>
          <w:spacing w:val="-4"/>
          <w:sz w:val="28"/>
          <w:szCs w:val="28"/>
          <w:lang w:val="en-US"/>
        </w:rPr>
        <w:t xml:space="preserve"> - The World Bank: Washington DC, 2009. – 112 p.</w:t>
      </w:r>
    </w:p>
    <w:p w:rsidR="00D94086" w:rsidRPr="00674D25" w:rsidRDefault="00D94086" w:rsidP="00A90B32">
      <w:pPr>
        <w:spacing w:after="0" w:line="360" w:lineRule="auto"/>
        <w:ind w:firstLine="709"/>
        <w:jc w:val="both"/>
        <w:rPr>
          <w:rFonts w:ascii="Times New Roman" w:eastAsia="Calibri" w:hAnsi="Times New Roman" w:cs="Times New Roman"/>
          <w:spacing w:val="-4"/>
          <w:sz w:val="28"/>
          <w:szCs w:val="28"/>
          <w:lang w:val="en-US"/>
        </w:rPr>
      </w:pPr>
    </w:p>
    <w:p w:rsidR="00D94086" w:rsidRPr="00674D25" w:rsidRDefault="00D94086" w:rsidP="00A90B32">
      <w:pPr>
        <w:spacing w:after="0" w:line="360" w:lineRule="auto"/>
        <w:ind w:firstLine="709"/>
        <w:jc w:val="both"/>
        <w:rPr>
          <w:rFonts w:ascii="Times New Roman" w:eastAsia="Calibri" w:hAnsi="Times New Roman" w:cs="Times New Roman"/>
          <w:spacing w:val="-4"/>
          <w:sz w:val="28"/>
          <w:szCs w:val="28"/>
          <w:lang w:val="en-US"/>
        </w:rPr>
      </w:pPr>
    </w:p>
    <w:p w:rsidR="00D94086" w:rsidRPr="00674D25" w:rsidRDefault="00D94086" w:rsidP="00A90B32">
      <w:pPr>
        <w:spacing w:after="0" w:line="360" w:lineRule="auto"/>
        <w:ind w:firstLine="709"/>
        <w:jc w:val="both"/>
        <w:rPr>
          <w:rFonts w:ascii="Times New Roman" w:eastAsia="Calibri" w:hAnsi="Times New Roman" w:cs="Times New Roman"/>
          <w:spacing w:val="-4"/>
          <w:sz w:val="28"/>
          <w:szCs w:val="28"/>
          <w:lang w:val="en-US"/>
        </w:rPr>
      </w:pPr>
    </w:p>
    <w:p w:rsidR="00880BFC" w:rsidRPr="00674D25" w:rsidRDefault="00880BFC" w:rsidP="00A90B32">
      <w:pPr>
        <w:spacing w:after="0" w:line="360" w:lineRule="auto"/>
        <w:ind w:firstLine="709"/>
        <w:jc w:val="both"/>
        <w:rPr>
          <w:rFonts w:ascii="Times New Roman" w:eastAsia="Calibri" w:hAnsi="Times New Roman" w:cs="Times New Roman"/>
          <w:spacing w:val="-4"/>
          <w:sz w:val="28"/>
          <w:szCs w:val="28"/>
          <w:lang w:val="en-US"/>
        </w:rPr>
      </w:pPr>
    </w:p>
    <w:p w:rsidR="00880BFC" w:rsidRPr="004A32FB" w:rsidRDefault="00880BFC" w:rsidP="00A90B32">
      <w:pPr>
        <w:spacing w:after="0" w:line="360" w:lineRule="auto"/>
        <w:ind w:firstLine="709"/>
        <w:jc w:val="both"/>
        <w:rPr>
          <w:rFonts w:ascii="Times New Roman" w:eastAsia="Calibri" w:hAnsi="Times New Roman" w:cs="Times New Roman"/>
          <w:spacing w:val="-4"/>
          <w:sz w:val="28"/>
          <w:szCs w:val="28"/>
          <w:lang w:val="en-US"/>
        </w:rPr>
      </w:pPr>
    </w:p>
    <w:p w:rsidR="00A90B32" w:rsidRPr="004A32FB" w:rsidRDefault="00A90B32" w:rsidP="00A90B32">
      <w:pPr>
        <w:spacing w:after="0" w:line="360" w:lineRule="auto"/>
        <w:jc w:val="both"/>
        <w:rPr>
          <w:rFonts w:ascii="Times New Roman" w:eastAsia="Calibri" w:hAnsi="Times New Roman" w:cs="Times New Roman"/>
          <w:spacing w:val="-4"/>
          <w:sz w:val="28"/>
          <w:szCs w:val="28"/>
          <w:lang w:val="en-US"/>
        </w:rPr>
      </w:pPr>
    </w:p>
    <w:p w:rsidR="00A90B32" w:rsidRPr="004A32FB" w:rsidRDefault="00A90B32" w:rsidP="00A90B32">
      <w:pPr>
        <w:spacing w:after="0" w:line="360" w:lineRule="auto"/>
        <w:ind w:firstLine="709"/>
        <w:jc w:val="both"/>
        <w:rPr>
          <w:rFonts w:ascii="Times New Roman" w:eastAsia="Calibri" w:hAnsi="Times New Roman" w:cs="Times New Roman"/>
          <w:spacing w:val="-4"/>
          <w:sz w:val="28"/>
          <w:szCs w:val="28"/>
          <w:lang w:val="en-US"/>
        </w:rPr>
      </w:pPr>
    </w:p>
    <w:p w:rsidR="00D94086" w:rsidRPr="004A32FB" w:rsidRDefault="00D94086" w:rsidP="00A90B32">
      <w:pPr>
        <w:spacing w:after="0" w:line="360" w:lineRule="auto"/>
        <w:jc w:val="both"/>
        <w:rPr>
          <w:rFonts w:ascii="Times New Roman" w:eastAsia="Calibri" w:hAnsi="Times New Roman" w:cs="Times New Roman"/>
          <w:spacing w:val="-4"/>
          <w:sz w:val="28"/>
          <w:szCs w:val="28"/>
          <w:lang w:val="en-US"/>
        </w:rPr>
      </w:pPr>
    </w:p>
    <w:p w:rsidR="00880BFC" w:rsidRDefault="00D94086" w:rsidP="00A90B32">
      <w:pPr>
        <w:spacing w:after="0" w:line="360" w:lineRule="auto"/>
        <w:ind w:firstLine="709"/>
        <w:jc w:val="both"/>
        <w:rPr>
          <w:rFonts w:ascii="Times New Roman" w:eastAsia="Calibri" w:hAnsi="Times New Roman" w:cs="Times New Roman"/>
          <w:b/>
          <w:spacing w:val="-4"/>
          <w:sz w:val="28"/>
          <w:szCs w:val="28"/>
        </w:rPr>
      </w:pPr>
      <w:r w:rsidRPr="00D94086">
        <w:rPr>
          <w:rFonts w:ascii="Times New Roman" w:eastAsia="Calibri" w:hAnsi="Times New Roman" w:cs="Times New Roman"/>
          <w:b/>
          <w:spacing w:val="-4"/>
          <w:sz w:val="28"/>
          <w:szCs w:val="28"/>
        </w:rPr>
        <w:t>ПРИЛОЖЕНИЕ</w:t>
      </w:r>
    </w:p>
    <w:p w:rsidR="00D94086" w:rsidRPr="00D94086" w:rsidRDefault="00D94086" w:rsidP="00A90B32">
      <w:pPr>
        <w:spacing w:after="0" w:line="360" w:lineRule="auto"/>
        <w:ind w:firstLine="709"/>
        <w:jc w:val="both"/>
        <w:rPr>
          <w:rFonts w:ascii="Times New Roman" w:eastAsia="Calibri" w:hAnsi="Times New Roman" w:cs="Times New Roman"/>
          <w:b/>
          <w:spacing w:val="-4"/>
          <w:sz w:val="28"/>
          <w:szCs w:val="28"/>
        </w:rPr>
      </w:pPr>
    </w:p>
    <w:p w:rsidR="0022696B" w:rsidRPr="001859D2" w:rsidRDefault="00D94086" w:rsidP="00A90B32">
      <w:pPr>
        <w:spacing w:after="0" w:line="240" w:lineRule="auto"/>
        <w:jc w:val="both"/>
        <w:rPr>
          <w:rFonts w:ascii="Times New Roman" w:eastAsia="Times New Roman" w:hAnsi="Times New Roman" w:cs="Times New Roman"/>
          <w:sz w:val="24"/>
          <w:szCs w:val="28"/>
          <w:lang w:val="en-US" w:eastAsia="ru-RU"/>
        </w:rPr>
      </w:pPr>
      <w:r>
        <w:rPr>
          <w:rFonts w:ascii="Times New Roman" w:eastAsia="Times New Roman" w:hAnsi="Times New Roman" w:cs="Times New Roman"/>
          <w:noProof/>
          <w:sz w:val="24"/>
          <w:szCs w:val="28"/>
          <w:lang w:eastAsia="ru-RU"/>
        </w:rPr>
        <w:drawing>
          <wp:inline distT="0" distB="0" distL="0" distR="0" wp14:anchorId="2BCBC490" wp14:editId="434092DE">
            <wp:extent cx="5353050" cy="7429500"/>
            <wp:effectExtent l="0" t="0" r="0" b="0"/>
            <wp:docPr id="1" name="Рисунок 1" descr="C:\Users\1\Desktop\(МАГ)\Портфолио\img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АГ)\Портфолио\img08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3050" cy="7429500"/>
                    </a:xfrm>
                    <a:prstGeom prst="rect">
                      <a:avLst/>
                    </a:prstGeom>
                    <a:noFill/>
                    <a:ln>
                      <a:noFill/>
                    </a:ln>
                  </pic:spPr>
                </pic:pic>
              </a:graphicData>
            </a:graphic>
          </wp:inline>
        </w:drawing>
      </w:r>
    </w:p>
    <w:p w:rsidR="0022696B" w:rsidRPr="0022696B" w:rsidRDefault="0022696B" w:rsidP="00A90B32">
      <w:pPr>
        <w:jc w:val="both"/>
        <w:rPr>
          <w:rFonts w:ascii="Times New Roman" w:hAnsi="Times New Roman" w:cs="Times New Roman"/>
          <w:sz w:val="28"/>
          <w:lang w:val="en-US"/>
        </w:rPr>
      </w:pPr>
    </w:p>
    <w:p w:rsidR="001902E2" w:rsidRPr="00FA62C0" w:rsidRDefault="001902E2" w:rsidP="00A90B32">
      <w:pPr>
        <w:jc w:val="both"/>
        <w:rPr>
          <w:rFonts w:ascii="Times New Roman" w:hAnsi="Times New Roman" w:cs="Times New Roman"/>
          <w:sz w:val="28"/>
        </w:rPr>
      </w:pPr>
    </w:p>
    <w:sectPr w:rsidR="001902E2" w:rsidRPr="00FA62C0" w:rsidSect="00A90B32">
      <w:foot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17" w:rsidRDefault="00BE1F17" w:rsidP="00FA62C0">
      <w:pPr>
        <w:spacing w:after="0" w:line="240" w:lineRule="auto"/>
      </w:pPr>
      <w:r>
        <w:separator/>
      </w:r>
    </w:p>
  </w:endnote>
  <w:endnote w:type="continuationSeparator" w:id="0">
    <w:p w:rsidR="00BE1F17" w:rsidRDefault="00BE1F17" w:rsidP="00FA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22214"/>
      <w:docPartObj>
        <w:docPartGallery w:val="Page Numbers (Bottom of Page)"/>
        <w:docPartUnique/>
      </w:docPartObj>
    </w:sdtPr>
    <w:sdtEndPr/>
    <w:sdtContent>
      <w:p w:rsidR="00FA62C0" w:rsidRDefault="00FA62C0">
        <w:pPr>
          <w:pStyle w:val="a5"/>
          <w:jc w:val="center"/>
        </w:pPr>
        <w:r>
          <w:fldChar w:fldCharType="begin"/>
        </w:r>
        <w:r>
          <w:instrText>PAGE   \* MERGEFORMAT</w:instrText>
        </w:r>
        <w:r>
          <w:fldChar w:fldCharType="separate"/>
        </w:r>
        <w:r w:rsidR="0081019C">
          <w:rPr>
            <w:noProof/>
          </w:rPr>
          <w:t>2</w:t>
        </w:r>
        <w:r>
          <w:fldChar w:fldCharType="end"/>
        </w:r>
      </w:p>
    </w:sdtContent>
  </w:sdt>
  <w:p w:rsidR="00FA62C0" w:rsidRDefault="00FA62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17" w:rsidRDefault="00BE1F17" w:rsidP="00FA62C0">
      <w:pPr>
        <w:spacing w:after="0" w:line="240" w:lineRule="auto"/>
      </w:pPr>
      <w:r>
        <w:separator/>
      </w:r>
    </w:p>
  </w:footnote>
  <w:footnote w:type="continuationSeparator" w:id="0">
    <w:p w:rsidR="00BE1F17" w:rsidRDefault="00BE1F17" w:rsidP="00FA6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21"/>
    <w:rsid w:val="001902E2"/>
    <w:rsid w:val="001C217C"/>
    <w:rsid w:val="0022696B"/>
    <w:rsid w:val="004A32FB"/>
    <w:rsid w:val="004A4898"/>
    <w:rsid w:val="005923BA"/>
    <w:rsid w:val="005F0D99"/>
    <w:rsid w:val="00674D25"/>
    <w:rsid w:val="007A4A8B"/>
    <w:rsid w:val="0081019C"/>
    <w:rsid w:val="00841335"/>
    <w:rsid w:val="00880BFC"/>
    <w:rsid w:val="0092319A"/>
    <w:rsid w:val="00A232D9"/>
    <w:rsid w:val="00A90B32"/>
    <w:rsid w:val="00AC4821"/>
    <w:rsid w:val="00BE1F17"/>
    <w:rsid w:val="00C903D3"/>
    <w:rsid w:val="00D55198"/>
    <w:rsid w:val="00D908E9"/>
    <w:rsid w:val="00D94086"/>
    <w:rsid w:val="00E02AB6"/>
    <w:rsid w:val="00E12139"/>
    <w:rsid w:val="00EB242C"/>
    <w:rsid w:val="00F22CBB"/>
    <w:rsid w:val="00F60D2C"/>
    <w:rsid w:val="00FA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F0399AD-E58A-49BB-983D-AC7B5E06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2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62C0"/>
  </w:style>
  <w:style w:type="paragraph" w:styleId="a5">
    <w:name w:val="footer"/>
    <w:basedOn w:val="a"/>
    <w:link w:val="a6"/>
    <w:uiPriority w:val="99"/>
    <w:unhideWhenUsed/>
    <w:rsid w:val="00FA62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62C0"/>
  </w:style>
  <w:style w:type="paragraph" w:styleId="a7">
    <w:name w:val="Balloon Text"/>
    <w:basedOn w:val="a"/>
    <w:link w:val="a8"/>
    <w:uiPriority w:val="99"/>
    <w:semiHidden/>
    <w:unhideWhenUsed/>
    <w:rsid w:val="00D94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4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89942">
      <w:bodyDiv w:val="1"/>
      <w:marLeft w:val="0"/>
      <w:marRight w:val="0"/>
      <w:marTop w:val="0"/>
      <w:marBottom w:val="0"/>
      <w:divBdr>
        <w:top w:val="none" w:sz="0" w:space="0" w:color="auto"/>
        <w:left w:val="none" w:sz="0" w:space="0" w:color="auto"/>
        <w:bottom w:val="none" w:sz="0" w:space="0" w:color="auto"/>
        <w:right w:val="none" w:sz="0" w:space="0" w:color="auto"/>
      </w:divBdr>
    </w:div>
    <w:div w:id="6066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1705</Words>
  <Characters>9722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14</dc:creator>
  <cp:keywords/>
  <dc:description/>
  <cp:lastModifiedBy>Беденко Надежда Николаевна</cp:lastModifiedBy>
  <cp:revision>15</cp:revision>
  <cp:lastPrinted>2018-05-14T08:45:00Z</cp:lastPrinted>
  <dcterms:created xsi:type="dcterms:W3CDTF">2018-02-01T13:59:00Z</dcterms:created>
  <dcterms:modified xsi:type="dcterms:W3CDTF">2018-05-14T08:45:00Z</dcterms:modified>
</cp:coreProperties>
</file>