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02" w:rsidRDefault="00B160CE" w:rsidP="00A74521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Федеральное госуда</w:t>
      </w:r>
      <w:r w:rsidR="009C6F53" w:rsidRPr="009C6F53">
        <w:rPr>
          <w:b w:val="0"/>
          <w:color w:val="000000"/>
          <w:sz w:val="28"/>
          <w:szCs w:val="28"/>
        </w:rPr>
        <w:t xml:space="preserve">рственное </w:t>
      </w:r>
      <w:r w:rsidR="0046214D">
        <w:rPr>
          <w:b w:val="0"/>
          <w:color w:val="000000"/>
          <w:sz w:val="28"/>
          <w:szCs w:val="28"/>
        </w:rPr>
        <w:t>бюджетно</w:t>
      </w:r>
      <w:r>
        <w:rPr>
          <w:b w:val="0"/>
          <w:color w:val="000000"/>
          <w:sz w:val="28"/>
          <w:szCs w:val="28"/>
        </w:rPr>
        <w:t xml:space="preserve">е </w:t>
      </w:r>
      <w:r w:rsidR="009C6F53" w:rsidRPr="009C6F53">
        <w:rPr>
          <w:b w:val="0"/>
          <w:color w:val="000000"/>
          <w:sz w:val="28"/>
          <w:szCs w:val="28"/>
        </w:rPr>
        <w:t>образовательное учреждение</w:t>
      </w:r>
      <w:r>
        <w:rPr>
          <w:b w:val="0"/>
          <w:color w:val="000000"/>
          <w:sz w:val="28"/>
          <w:szCs w:val="28"/>
        </w:rPr>
        <w:t xml:space="preserve"> </w:t>
      </w:r>
    </w:p>
    <w:p w:rsidR="009C6F53" w:rsidRDefault="009C6F53" w:rsidP="00A74521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C6F53">
        <w:rPr>
          <w:b w:val="0"/>
          <w:color w:val="000000"/>
          <w:sz w:val="28"/>
          <w:szCs w:val="28"/>
        </w:rPr>
        <w:t>высшего образования</w:t>
      </w:r>
    </w:p>
    <w:p w:rsidR="00EC1069" w:rsidRPr="009C6F53" w:rsidRDefault="00EC1069" w:rsidP="00744F16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EC1069" w:rsidRDefault="00EC1069" w:rsidP="00037D02">
      <w:pPr>
        <w:pStyle w:val="3"/>
        <w:keepNext w:val="0"/>
        <w:tabs>
          <w:tab w:val="left" w:pos="900"/>
          <w:tab w:val="left" w:pos="1080"/>
        </w:tabs>
        <w:suppressAutoHyphens/>
        <w:jc w:val="left"/>
        <w:rPr>
          <w:szCs w:val="28"/>
        </w:rPr>
      </w:pPr>
    </w:p>
    <w:p w:rsidR="009C6F53" w:rsidRPr="009C6F53" w:rsidRDefault="0080331D" w:rsidP="00744F16">
      <w:pPr>
        <w:pStyle w:val="3"/>
        <w:keepNext w:val="0"/>
        <w:tabs>
          <w:tab w:val="left" w:pos="900"/>
          <w:tab w:val="left" w:pos="1080"/>
        </w:tabs>
        <w:suppressAutoHyphens/>
        <w:ind w:firstLine="567"/>
        <w:rPr>
          <w:b/>
          <w:bCs/>
          <w:szCs w:val="28"/>
        </w:rPr>
      </w:pPr>
      <w:r>
        <w:rPr>
          <w:szCs w:val="28"/>
        </w:rPr>
        <w:t xml:space="preserve">Институт экономики и </w:t>
      </w:r>
      <w:r w:rsidR="00F15223">
        <w:rPr>
          <w:szCs w:val="28"/>
        </w:rPr>
        <w:t xml:space="preserve">управления </w:t>
      </w:r>
    </w:p>
    <w:p w:rsidR="009C6F53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6F53" w:rsidRPr="009C6F53" w:rsidRDefault="00134F92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46214D">
        <w:rPr>
          <w:rFonts w:ascii="Times New Roman" w:hAnsi="Times New Roman"/>
          <w:sz w:val="28"/>
          <w:szCs w:val="28"/>
        </w:rPr>
        <w:t xml:space="preserve">экономики предприятия и </w:t>
      </w:r>
      <w:r>
        <w:rPr>
          <w:rFonts w:ascii="Times New Roman" w:hAnsi="Times New Roman"/>
          <w:sz w:val="28"/>
          <w:szCs w:val="28"/>
        </w:rPr>
        <w:t>менеджмента</w:t>
      </w:r>
      <w:r w:rsidR="009C6F53" w:rsidRPr="009C6F53">
        <w:rPr>
          <w:rFonts w:ascii="Times New Roman" w:hAnsi="Times New Roman"/>
          <w:sz w:val="28"/>
          <w:szCs w:val="28"/>
        </w:rPr>
        <w:t xml:space="preserve"> </w:t>
      </w:r>
    </w:p>
    <w:p w:rsidR="009C6F53" w:rsidRPr="009C6F53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261EBE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261EBE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P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9C6F53" w:rsidRDefault="00C85DB0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научно-исследовательской </w:t>
      </w:r>
      <w:r w:rsidR="00261EBE">
        <w:rPr>
          <w:b/>
          <w:sz w:val="36"/>
          <w:szCs w:val="36"/>
        </w:rPr>
        <w:t>работе</w:t>
      </w:r>
    </w:p>
    <w:p w:rsidR="00261EBE" w:rsidRPr="009C6F53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за </w:t>
      </w:r>
      <w:r w:rsidR="0062333C">
        <w:rPr>
          <w:b/>
          <w:sz w:val="36"/>
          <w:szCs w:val="36"/>
        </w:rPr>
        <w:t>2</w:t>
      </w:r>
      <w:r w:rsidRPr="003129D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семестр </w:t>
      </w:r>
    </w:p>
    <w:p w:rsidR="0046214D" w:rsidRDefault="0046214D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Pr="00F37657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Направлени</w:t>
      </w:r>
      <w:r>
        <w:rPr>
          <w:spacing w:val="-6"/>
          <w:sz w:val="28"/>
          <w:szCs w:val="28"/>
        </w:rPr>
        <w:t>е</w:t>
      </w:r>
      <w:r w:rsidRPr="00F37657">
        <w:rPr>
          <w:spacing w:val="-6"/>
          <w:sz w:val="28"/>
          <w:szCs w:val="28"/>
        </w:rPr>
        <w:t xml:space="preserve"> подготовки</w:t>
      </w:r>
    </w:p>
    <w:p w:rsidR="009C6F53" w:rsidRPr="00EB01CC" w:rsidRDefault="0001781F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38.0</w:t>
      </w:r>
      <w:r w:rsidR="00D971E9">
        <w:rPr>
          <w:bCs/>
          <w:sz w:val="28"/>
          <w:szCs w:val="28"/>
        </w:rPr>
        <w:t xml:space="preserve">4.02 </w:t>
      </w:r>
      <w:r w:rsidR="00134F92">
        <w:rPr>
          <w:bCs/>
          <w:sz w:val="28"/>
          <w:szCs w:val="28"/>
        </w:rPr>
        <w:t>МЕНЕДЖМЕНТ</w:t>
      </w:r>
    </w:p>
    <w:p w:rsidR="009C6F53" w:rsidRPr="00F37657" w:rsidRDefault="009C6F53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46214D" w:rsidRPr="003129D3" w:rsidRDefault="0046214D" w:rsidP="0046214D">
      <w:pPr>
        <w:shd w:val="clear" w:color="auto" w:fill="FFFFFF"/>
        <w:suppressAutoHyphens/>
        <w:jc w:val="center"/>
        <w:rPr>
          <w:sz w:val="28"/>
          <w:szCs w:val="28"/>
        </w:rPr>
      </w:pPr>
      <w:r w:rsidRPr="003129D3">
        <w:rPr>
          <w:sz w:val="28"/>
          <w:szCs w:val="28"/>
        </w:rPr>
        <w:t xml:space="preserve">Магистерская программа </w:t>
      </w:r>
    </w:p>
    <w:p w:rsidR="0046214D" w:rsidRPr="003129D3" w:rsidRDefault="0046214D" w:rsidP="0046214D">
      <w:pPr>
        <w:shd w:val="clear" w:color="auto" w:fill="FFFFFF"/>
        <w:suppressAutoHyphens/>
        <w:jc w:val="center"/>
        <w:rPr>
          <w:sz w:val="28"/>
          <w:szCs w:val="28"/>
        </w:rPr>
      </w:pPr>
      <w:r w:rsidRPr="003129D3">
        <w:rPr>
          <w:sz w:val="28"/>
          <w:szCs w:val="28"/>
        </w:rPr>
        <w:t>Стратегическое и корпоративное управление</w:t>
      </w:r>
    </w:p>
    <w:p w:rsidR="0046214D" w:rsidRDefault="0046214D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261EBE" w:rsidRPr="00F37657" w:rsidRDefault="00261EBE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Default="009C6F53" w:rsidP="00744F16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261EBE" w:rsidRDefault="00261EBE" w:rsidP="00744F16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261EBE" w:rsidRPr="009C6F53" w:rsidRDefault="00261EBE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9C6F53" w:rsidRPr="00E07FBF" w:rsidRDefault="00E07FBF" w:rsidP="00E07FBF">
      <w:pPr>
        <w:shd w:val="clear" w:color="auto" w:fill="FFFFFF"/>
        <w:suppressAutoHyphens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Форма обучения о</w:t>
      </w:r>
      <w:r w:rsidR="009C6F53" w:rsidRPr="00EB01CC">
        <w:rPr>
          <w:spacing w:val="-7"/>
          <w:sz w:val="28"/>
          <w:szCs w:val="28"/>
        </w:rPr>
        <w:t>чная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9C6F53" w:rsidRDefault="00134F92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Обучающийся:</w:t>
      </w:r>
    </w:p>
    <w:p w:rsidR="009C6F53" w:rsidRPr="00261EBE" w:rsidRDefault="00A94914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Михно Алексей Леонидович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EC1069" w:rsidRDefault="00EC1069" w:rsidP="00744F16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9C6F53" w:rsidRPr="00744F16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 w:rsidRPr="00744F16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9C6F53" w:rsidRPr="00744F16" w:rsidRDefault="00A94914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Чегринцова С.В. кандидат психологических наук, доцент</w:t>
      </w:r>
    </w:p>
    <w:p w:rsidR="009C6F53" w:rsidRPr="00744F16" w:rsidRDefault="009C6F53" w:rsidP="00744F16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9C6F53" w:rsidRPr="00744F16" w:rsidRDefault="009C6F53" w:rsidP="00744F16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744F16" w:rsidRDefault="00261EBE" w:rsidP="00744F16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/>
      </w:r>
    </w:p>
    <w:p w:rsidR="00744F16" w:rsidRDefault="00744F16" w:rsidP="00744F16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E07FBF" w:rsidRDefault="00E07FBF" w:rsidP="00744F16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E07FBF" w:rsidRDefault="00E07FBF" w:rsidP="00744F16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B2536A" w:rsidRPr="00261EBE" w:rsidRDefault="0080331D" w:rsidP="00261EBE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Тверь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 xml:space="preserve"> 201</w:t>
      </w:r>
      <w:r w:rsidR="0062333C">
        <w:rPr>
          <w:color w:val="000000"/>
          <w:spacing w:val="-1"/>
          <w:sz w:val="28"/>
          <w:szCs w:val="28"/>
        </w:rPr>
        <w:t>7</w:t>
      </w:r>
    </w:p>
    <w:p w:rsidR="00B00BC4" w:rsidRDefault="00E07FBF" w:rsidP="00744F1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744F16" w:rsidRDefault="00744F16" w:rsidP="00744F16">
      <w:pPr>
        <w:shd w:val="clear" w:color="auto" w:fill="FFFFFF"/>
        <w:jc w:val="center"/>
        <w:rPr>
          <w:b/>
          <w:sz w:val="28"/>
          <w:szCs w:val="28"/>
        </w:rPr>
      </w:pPr>
    </w:p>
    <w:p w:rsidR="00744F16" w:rsidRDefault="00744F16" w:rsidP="00744F16">
      <w:pPr>
        <w:shd w:val="clear" w:color="auto" w:fill="FFFFFF"/>
        <w:jc w:val="center"/>
        <w:rPr>
          <w:b/>
          <w:sz w:val="28"/>
          <w:szCs w:val="28"/>
        </w:rPr>
      </w:pPr>
    </w:p>
    <w:p w:rsidR="0080331D" w:rsidRDefault="00A94914" w:rsidP="003129D3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Научно-исследовательская работа </w:t>
      </w:r>
      <w:r w:rsidR="00261EBE">
        <w:rPr>
          <w:color w:val="000000"/>
          <w:spacing w:val="-1"/>
          <w:sz w:val="28"/>
          <w:szCs w:val="28"/>
        </w:rPr>
        <w:t>на тему «</w:t>
      </w:r>
      <w:r>
        <w:rPr>
          <w:color w:val="000000"/>
          <w:spacing w:val="-1"/>
          <w:sz w:val="28"/>
          <w:szCs w:val="28"/>
        </w:rPr>
        <w:t>Личностно-ориентированное обучение как инструмент формирования компетенций у студентов образовательных учреждений СПО</w:t>
      </w:r>
      <w:r w:rsidR="00261EBE">
        <w:rPr>
          <w:color w:val="000000"/>
          <w:spacing w:val="-1"/>
          <w:sz w:val="28"/>
          <w:szCs w:val="28"/>
        </w:rPr>
        <w:t>»</w:t>
      </w:r>
    </w:p>
    <w:p w:rsidR="00261EBE" w:rsidRDefault="00261EBE" w:rsidP="003129D3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Библиографический список</w:t>
      </w:r>
    </w:p>
    <w:p w:rsidR="00744F16" w:rsidRDefault="00744F16" w:rsidP="003129D3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797409" w:rsidRDefault="00797409" w:rsidP="003129D3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797409" w:rsidRDefault="00797409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797409" w:rsidRDefault="00797409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797409" w:rsidRDefault="00797409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A94914" w:rsidRDefault="00A94914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Pr="00A94914" w:rsidRDefault="00A94914" w:rsidP="00A94914">
      <w:pPr>
        <w:rPr>
          <w:sz w:val="28"/>
          <w:szCs w:val="28"/>
        </w:rPr>
      </w:pPr>
    </w:p>
    <w:p w:rsidR="00A94914" w:rsidRDefault="00A94914" w:rsidP="00A94914">
      <w:pPr>
        <w:rPr>
          <w:sz w:val="28"/>
          <w:szCs w:val="28"/>
        </w:rPr>
      </w:pPr>
    </w:p>
    <w:p w:rsidR="00797409" w:rsidRDefault="00A94914" w:rsidP="00A94914">
      <w:pPr>
        <w:tabs>
          <w:tab w:val="left" w:pos="23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Default="00A94914" w:rsidP="00A94914">
      <w:pPr>
        <w:tabs>
          <w:tab w:val="left" w:pos="2375"/>
        </w:tabs>
        <w:rPr>
          <w:sz w:val="28"/>
          <w:szCs w:val="28"/>
        </w:rPr>
      </w:pPr>
    </w:p>
    <w:p w:rsidR="00A94914" w:rsidRPr="003129D3" w:rsidRDefault="00A94914" w:rsidP="003129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3129D3">
        <w:rPr>
          <w:color w:val="000000"/>
          <w:spacing w:val="-1"/>
          <w:sz w:val="28"/>
          <w:szCs w:val="28"/>
        </w:rPr>
        <w:lastRenderedPageBreak/>
        <w:t>Научно-исследовательская работа на тему «Личностно-ориентированное обучение как инструмент формирования компетенций у студентов образовательных учреждений СПО»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>В современных условиях на рынке труда часто встречаются выпускники учреждений СПО, осуществляющих подготовку по специальностям в рамках УГС «Образование и педагогические науки», с достаточно низким уровнем сформированных компетенций. Данный факт свидетельствует о невысокой конкурентоспособности таких молодых специалистов. В связи с этим для преподавателей образовательных учреждений актуальной становится задача повышения качества знаний и уровня компетентности студентов.  Одним из действенных инструментов при решении данной проблемы становится личностно-ориентированное обучение.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rStyle w:val="aa"/>
          <w:b w:val="0"/>
          <w:color w:val="FF0000"/>
          <w:sz w:val="28"/>
          <w:szCs w:val="28"/>
          <w:shd w:val="clear" w:color="auto" w:fill="FFFFFF"/>
        </w:rPr>
      </w:pPr>
      <w:r w:rsidRPr="003129D3">
        <w:rPr>
          <w:sz w:val="28"/>
          <w:szCs w:val="28"/>
        </w:rPr>
        <w:t xml:space="preserve">Благодаря использованию в образовательном процессе личностно-ориентированного обучения со специфическими методами, функциями и способами, смело можно утверждать, что уровень компетентности студентов заметно повышается. </w:t>
      </w:r>
      <w:r w:rsidRPr="003129D3">
        <w:rPr>
          <w:rStyle w:val="aa"/>
          <w:b w:val="0"/>
          <w:color w:val="000000"/>
          <w:sz w:val="28"/>
          <w:szCs w:val="28"/>
          <w:shd w:val="clear" w:color="auto" w:fill="FFFFFF"/>
        </w:rPr>
        <w:t>Данное высказывание подтверждается результатами экспериментальных исследований, в ходе которых И.С. Якиманская пришла к выводу о том, что «любое обучение можно считать развивающим, но далеко не всегда развивающее обучение является личностно-ориентированным». Полемизируя с основоположниками развивающего обучения, по мнению которых, источник развития лежит вне самого ребенка — в обучении, И.С. Якиманская утверждает, что каждый ученик как носитель индивидуального, личного (субъектного) опыта «...прежде всего, стремится к раскрытию собственного потенциала, данного ему от природы в силу индивидуальной организации»</w:t>
      </w:r>
      <w:r w:rsidRPr="003129D3">
        <w:rPr>
          <w:color w:val="000000"/>
          <w:sz w:val="28"/>
          <w:szCs w:val="28"/>
        </w:rPr>
        <w:t>. [1]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sz w:val="28"/>
          <w:szCs w:val="28"/>
        </w:rPr>
        <w:t xml:space="preserve">Необходимо отметить, что личностно-ориентированный подход в преподавании – это четко сосредоточенное внимание преподавателя на целостности личности студента, в том числе не только на развитии его интеллекта, гражданского чувства ответственности, но и </w:t>
      </w:r>
      <w:r w:rsidRPr="003129D3">
        <w:rPr>
          <w:color w:val="171717"/>
          <w:sz w:val="28"/>
          <w:szCs w:val="28"/>
          <w:shd w:val="clear" w:color="auto" w:fill="FFFFFF"/>
        </w:rPr>
        <w:t>духовной личности с эмоциональными, эстетическими, творческими задатками и возможностями развития</w:t>
      </w:r>
      <w:r w:rsidRPr="003129D3">
        <w:rPr>
          <w:color w:val="171717"/>
          <w:sz w:val="21"/>
          <w:szCs w:val="21"/>
          <w:shd w:val="clear" w:color="auto" w:fill="FFFFFF"/>
        </w:rPr>
        <w:t xml:space="preserve">. </w:t>
      </w:r>
      <w:r w:rsidRPr="003129D3">
        <w:rPr>
          <w:color w:val="171717"/>
          <w:sz w:val="28"/>
          <w:szCs w:val="28"/>
          <w:shd w:val="clear" w:color="auto" w:fill="FFFFFF"/>
        </w:rPr>
        <w:t>Главной целью личностно-ориентированного обучения является создание максимальных условий для полно</w:t>
      </w:r>
      <w:r w:rsidRPr="003129D3">
        <w:rPr>
          <w:color w:val="171717"/>
          <w:sz w:val="28"/>
          <w:szCs w:val="28"/>
          <w:shd w:val="clear" w:color="auto" w:fill="FFFFFF"/>
        </w:rPr>
        <w:lastRenderedPageBreak/>
        <w:t>ценного развития следующих способностей и умений у студента: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- способность к самостоятельному выбору студентом элективных курсов и дисциплин с учетом собственных интересов и способностей;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- умение смотреть на себя со стороны, оценивать собственный социальный статус и позицию в обществе;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-  умение формировать собственный образ;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- умение быть ответственным за все совершенные им действия и др.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Следует отметить, что указанные выше умения способствуют успешному формированию компетенций у студента, обучающегося по специальностям 44.02.01 «Дошкольное образование», 44.02.02 «Преподавание в начальных классах» и др. в этой укрупненной группе специальностей. К таким компетенциям относятся такие общекультурные компетенции, как: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- организовывать собственную деятельность, определять методы решения профессиональных задач, оценивать их эффективность и качество (ОК-2);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- оценивать риски и принимать решения в нестандартных ситуациях (ОК-3);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-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 (ОК-7);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>-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(ОК-8) и др. [2].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  <w:shd w:val="clear" w:color="auto" w:fill="FFFFFF"/>
        </w:rPr>
      </w:pPr>
      <w:r w:rsidRPr="003129D3">
        <w:rPr>
          <w:color w:val="171717"/>
          <w:sz w:val="28"/>
          <w:szCs w:val="28"/>
          <w:shd w:val="clear" w:color="auto" w:fill="FFFFFF"/>
        </w:rPr>
        <w:tab/>
        <w:t xml:space="preserve">В личностно-ориентированном обучении студент является главным действующим лицом всего образовательного процесса, который делает особый акцент на воспитании и развитии всех учащихся с учетом их индивидуальных особенностей, к которым относятся: 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</w:rPr>
      </w:pPr>
      <w:r w:rsidRPr="003129D3">
        <w:rPr>
          <w:color w:val="171717"/>
          <w:sz w:val="28"/>
          <w:szCs w:val="28"/>
        </w:rPr>
        <w:t>- возрастные, физиологические, психологические, интеллектуальные особенности;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</w:rPr>
      </w:pPr>
      <w:r w:rsidRPr="003129D3">
        <w:rPr>
          <w:color w:val="171717"/>
          <w:sz w:val="28"/>
          <w:szCs w:val="28"/>
        </w:rPr>
        <w:t xml:space="preserve">- образовательный интерес студента по степени сложности программного обучения. 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</w:rPr>
      </w:pPr>
      <w:r w:rsidRPr="003129D3">
        <w:rPr>
          <w:color w:val="171717"/>
          <w:sz w:val="28"/>
          <w:szCs w:val="28"/>
        </w:rPr>
        <w:t xml:space="preserve">По результатам анализа перечисленных особенностей личности появляется </w:t>
      </w:r>
      <w:r w:rsidRPr="003129D3">
        <w:rPr>
          <w:color w:val="171717"/>
          <w:sz w:val="28"/>
          <w:szCs w:val="28"/>
        </w:rPr>
        <w:lastRenderedPageBreak/>
        <w:t>возможность дифференциации обучающихся по знаниям, способностям, профессиональной направленности и формирования разных академических групп (уровневая дифференциация). Действительно, для личностно-ориентированного образовательного процесса хорошо подходит метод дифференцируемого обучения, основными особенностями которого являются следующие: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</w:rPr>
      </w:pPr>
      <w:r w:rsidRPr="003129D3">
        <w:rPr>
          <w:color w:val="171717"/>
          <w:sz w:val="28"/>
          <w:szCs w:val="28"/>
        </w:rPr>
        <w:t>- обеспечение всех необходимых потребностей обучающихся, для изучения конкретной дисциплины (модуля);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</w:rPr>
      </w:pPr>
      <w:r w:rsidRPr="003129D3">
        <w:rPr>
          <w:color w:val="171717"/>
          <w:sz w:val="28"/>
          <w:szCs w:val="28"/>
        </w:rPr>
        <w:t>- четкое, последовательное изучение материала в зависимости от уровня его сложности и академической группы;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</w:rPr>
      </w:pPr>
      <w:r w:rsidRPr="003129D3">
        <w:rPr>
          <w:color w:val="171717"/>
          <w:sz w:val="28"/>
          <w:szCs w:val="28"/>
        </w:rPr>
        <w:t>- проверка уровня знаний студентов и готовность к изучению нового материала.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171717"/>
          <w:sz w:val="28"/>
          <w:szCs w:val="28"/>
        </w:rPr>
      </w:pPr>
      <w:r w:rsidRPr="003129D3">
        <w:rPr>
          <w:color w:val="171717"/>
          <w:sz w:val="28"/>
          <w:szCs w:val="28"/>
        </w:rPr>
        <w:tab/>
        <w:t>Таким образом, дифференцируемый подход обучения – это широкое использование различных форм и методов, предполагающих обучение и организацию учебной деятельности на основе результатов психолого-педагогической диагностики учебных возможностей, склонностей, способностей учащихся. Использование этих форм и методов позволяет создать благоприятные условия для развития личности.</w:t>
      </w:r>
    </w:p>
    <w:p w:rsidR="00A94914" w:rsidRPr="003129D3" w:rsidRDefault="00A94914" w:rsidP="003129D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color w:val="171717"/>
          <w:sz w:val="28"/>
          <w:szCs w:val="28"/>
        </w:rPr>
        <w:tab/>
        <w:t>Стоит отметить и тот факт, что п</w:t>
      </w:r>
      <w:r w:rsidRPr="003129D3">
        <w:rPr>
          <w:sz w:val="28"/>
          <w:szCs w:val="28"/>
        </w:rPr>
        <w:t>роцесс обучения не стоит на месте, и с приходом информационной эры приходиться менять всеми нами привычные подходы обучения. Преподаватели начинают активно использовать информационные технологии. Работа в учебных аудиториях практически всегда (за исключением контрольных работ и экзаменов) ведется с помощью интерактивных досок и применением мультимедийной техники. Это приводит к усилению интереса у студентов к учебному процессу и способствует формированию компетенций: использовать информационно-коммуникационные технологии для совершенствования профессиональной деятельности (ОК-5) [2]. С помощью внедрения в процесс обучения современных средств студенты не только с удовольствием закрепляют изученный материал, но и стремятся познать новую информацию.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>Как свидетельствует педагогическая практика, в целях повышения уровня сформированности компетенций студента, необходимо использовать балльно-</w:t>
      </w:r>
      <w:r w:rsidRPr="003129D3">
        <w:rPr>
          <w:sz w:val="28"/>
          <w:szCs w:val="28"/>
        </w:rPr>
        <w:lastRenderedPageBreak/>
        <w:t>рейтинговую систему. Ключевыми целями данной системы являются: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>- стимулирование работы студентов;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 xml:space="preserve">- повышение мотивации обучающихся к освоению нового материала, новых программ на базе индивидуального подхода. 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 xml:space="preserve">При использовании балльно-рейтинговой системы у студентов появляется возможность быть аттестованным по конкретной дисциплине по результатам работы в семестре, что стимулирует рост работоспособности студента и его самостоятельное обучение. В условиях такой системы студент также получает возможность получить баллы не только за обязательные задания, но и дополнительные баллы, которые ставятся за активное участие студента в образовательном процессе. Тем самым использование балльно-рейтенговой системы повышает уровень компетентности студента, так как студент сам заинтересован в его конечном результате обучения. </w:t>
      </w:r>
      <w:r w:rsidRPr="003129D3">
        <w:rPr>
          <w:sz w:val="28"/>
          <w:szCs w:val="28"/>
        </w:rPr>
        <w:tab/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>Хорошим примером успешного применения личностно-ориентированного обучения</w:t>
      </w:r>
      <w:r w:rsidRPr="003129D3">
        <w:rPr>
          <w:color w:val="FF0000"/>
          <w:sz w:val="28"/>
          <w:szCs w:val="28"/>
        </w:rPr>
        <w:t xml:space="preserve"> </w:t>
      </w:r>
      <w:r w:rsidRPr="003129D3">
        <w:rPr>
          <w:sz w:val="28"/>
          <w:szCs w:val="28"/>
        </w:rPr>
        <w:t>служит Государственное бюджетное профессиональное образовательное учреждение «Тверской педагогический колледж». Ранее в данном учебном заведении не использовалась ни рейтинговая система, ни дифференцированное обучение. Но в связи с реализацией новых образовательных  стандартов (ФГОС СПО), уровень знания студентов значительно вырос, о чем свидетельствуют результаты выпускных работ и квалификационных экзаменов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>До внедрения ФГОС СПО указанное образовательное учреждение выпускало квалифицированных специалистов, многие из которых успешно работают в разных городах России. Но с внедрением личностно-ориентированного обучения, ГБПУ «Тверской педагогический колледж» повысил уровень компетентности своих</w:t>
      </w:r>
      <w:r w:rsidRPr="003129D3">
        <w:rPr>
          <w:color w:val="C00000"/>
          <w:sz w:val="28"/>
          <w:szCs w:val="28"/>
        </w:rPr>
        <w:t xml:space="preserve"> </w:t>
      </w:r>
      <w:r w:rsidRPr="003129D3">
        <w:rPr>
          <w:sz w:val="28"/>
          <w:szCs w:val="28"/>
        </w:rPr>
        <w:t xml:space="preserve">выпускников, о чем свидетельствуют результаты тестирования, проводимого на базе колледжа, анкетированием работодателей. По отзывам работодателей, молодые специалисты стали быстрее ориентироваться в своей работе и вникать в трудовой процесс, а также оперативно выявлять проблемы и недочеты в своей педагогической деятельности. Если раньше после окончания ГБПУ «Тверской педагогический колледж» выпускникам требовалось около года на профессиональную адаптацию, то </w:t>
      </w:r>
      <w:r w:rsidRPr="003129D3">
        <w:rPr>
          <w:sz w:val="28"/>
          <w:szCs w:val="28"/>
        </w:rPr>
        <w:lastRenderedPageBreak/>
        <w:t>сейчас выпускники, которые проходят обучение по принципам личностно-ориентированного подхода, гораздо быстрее адаптируются после выпуска из стен колледжа.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>Таким образом, можно сделать вывод о том, что личностно-ориентированный подход можно и нужно применять в образовательных учреждениях СПО, т.к. благодаря нему выпускники становятся более компетентными в сферах своей профессиональной деятельности.</w:t>
      </w:r>
    </w:p>
    <w:p w:rsidR="003129D3" w:rsidRDefault="003129D3" w:rsidP="00A94914">
      <w:pPr>
        <w:tabs>
          <w:tab w:val="left" w:pos="2375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4914" w:rsidRPr="003129D3" w:rsidRDefault="00A94914" w:rsidP="003129D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3129D3">
        <w:rPr>
          <w:spacing w:val="-1"/>
          <w:sz w:val="28"/>
          <w:szCs w:val="28"/>
        </w:rPr>
        <w:lastRenderedPageBreak/>
        <w:t>Библиографический список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>1.</w:t>
      </w:r>
      <w:hyperlink r:id="rId7" w:history="1">
        <w:r w:rsidRPr="003129D3">
          <w:rPr>
            <w:rStyle w:val="af"/>
            <w:color w:val="auto"/>
            <w:sz w:val="28"/>
            <w:szCs w:val="28"/>
          </w:rPr>
          <w:t>http://pedsovet.pro/index.php?option=com_content&amp;view=article&amp;id=6990:sistema-lichnostnoorientirovannogo-obucheniya-v-sredney-shkole&amp;catid=69:pedagogics&amp;Itemid=70</w:t>
        </w:r>
      </w:hyperlink>
    </w:p>
    <w:p w:rsidR="00A94914" w:rsidRPr="003129D3" w:rsidRDefault="00A94914" w:rsidP="003129D3">
      <w:pPr>
        <w:spacing w:line="360" w:lineRule="auto"/>
        <w:ind w:firstLine="709"/>
        <w:jc w:val="both"/>
        <w:rPr>
          <w:sz w:val="28"/>
          <w:szCs w:val="28"/>
        </w:rPr>
      </w:pPr>
      <w:r w:rsidRPr="003129D3">
        <w:rPr>
          <w:sz w:val="28"/>
          <w:szCs w:val="28"/>
        </w:rPr>
        <w:t>2. ФГОС СПО по направлениям в УГС «Образование и педагогические науки».</w:t>
      </w:r>
    </w:p>
    <w:p w:rsidR="00A94914" w:rsidRPr="003129D3" w:rsidRDefault="00A94914" w:rsidP="003129D3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129D3">
        <w:rPr>
          <w:b/>
          <w:i/>
          <w:sz w:val="28"/>
          <w:szCs w:val="28"/>
        </w:rPr>
        <w:t xml:space="preserve"> </w:t>
      </w:r>
    </w:p>
    <w:p w:rsidR="00A94914" w:rsidRPr="003129D3" w:rsidRDefault="00A94914" w:rsidP="003129D3">
      <w:pPr>
        <w:tabs>
          <w:tab w:val="left" w:pos="2375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A94914" w:rsidRPr="003129D3" w:rsidSect="003129D3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86" w:rsidRDefault="00235686" w:rsidP="00744F16">
      <w:r>
        <w:separator/>
      </w:r>
    </w:p>
  </w:endnote>
  <w:endnote w:type="continuationSeparator" w:id="0">
    <w:p w:rsidR="00235686" w:rsidRDefault="00235686" w:rsidP="007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16" w:rsidRDefault="00ED1FCA" w:rsidP="003129D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1781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86" w:rsidRDefault="00235686" w:rsidP="00744F16">
      <w:r>
        <w:separator/>
      </w:r>
    </w:p>
  </w:footnote>
  <w:footnote w:type="continuationSeparator" w:id="0">
    <w:p w:rsidR="00235686" w:rsidRDefault="00235686" w:rsidP="0074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E62"/>
    <w:multiLevelType w:val="hybridMultilevel"/>
    <w:tmpl w:val="140A337C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B05F5E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0E1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A3755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13406"/>
    <w:multiLevelType w:val="hybridMultilevel"/>
    <w:tmpl w:val="92DA56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A703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C6D8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492F"/>
    <w:multiLevelType w:val="hybridMultilevel"/>
    <w:tmpl w:val="94EC9770"/>
    <w:lvl w:ilvl="0" w:tplc="1B34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861926"/>
    <w:multiLevelType w:val="hybridMultilevel"/>
    <w:tmpl w:val="A89CD5BC"/>
    <w:lvl w:ilvl="0" w:tplc="B39CE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6763AC"/>
    <w:multiLevelType w:val="hybridMultilevel"/>
    <w:tmpl w:val="1A2C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F24"/>
    <w:rsid w:val="0001781F"/>
    <w:rsid w:val="00022AC8"/>
    <w:rsid w:val="00022B1F"/>
    <w:rsid w:val="00035EF7"/>
    <w:rsid w:val="00037D02"/>
    <w:rsid w:val="000F2736"/>
    <w:rsid w:val="00134F92"/>
    <w:rsid w:val="00190B5D"/>
    <w:rsid w:val="001A30DE"/>
    <w:rsid w:val="001B60F3"/>
    <w:rsid w:val="002069E8"/>
    <w:rsid w:val="002145FA"/>
    <w:rsid w:val="00235686"/>
    <w:rsid w:val="00256E40"/>
    <w:rsid w:val="00261EBE"/>
    <w:rsid w:val="002A7CBF"/>
    <w:rsid w:val="002B72C9"/>
    <w:rsid w:val="002E1616"/>
    <w:rsid w:val="003129D3"/>
    <w:rsid w:val="00324ACE"/>
    <w:rsid w:val="003315A0"/>
    <w:rsid w:val="00372784"/>
    <w:rsid w:val="003C09EB"/>
    <w:rsid w:val="003D7809"/>
    <w:rsid w:val="003D79BF"/>
    <w:rsid w:val="004138D0"/>
    <w:rsid w:val="004524D7"/>
    <w:rsid w:val="0046214D"/>
    <w:rsid w:val="004E3364"/>
    <w:rsid w:val="00560C2A"/>
    <w:rsid w:val="00563320"/>
    <w:rsid w:val="005A1446"/>
    <w:rsid w:val="0062333C"/>
    <w:rsid w:val="00643A5C"/>
    <w:rsid w:val="00665414"/>
    <w:rsid w:val="006929AB"/>
    <w:rsid w:val="00744F16"/>
    <w:rsid w:val="00785245"/>
    <w:rsid w:val="00797409"/>
    <w:rsid w:val="007A2910"/>
    <w:rsid w:val="007A5DB8"/>
    <w:rsid w:val="007C65BD"/>
    <w:rsid w:val="007E4E10"/>
    <w:rsid w:val="007E5E69"/>
    <w:rsid w:val="0080331D"/>
    <w:rsid w:val="00812C33"/>
    <w:rsid w:val="008234AE"/>
    <w:rsid w:val="008250B0"/>
    <w:rsid w:val="008618B6"/>
    <w:rsid w:val="008D01F1"/>
    <w:rsid w:val="00904F24"/>
    <w:rsid w:val="00946C90"/>
    <w:rsid w:val="009505F5"/>
    <w:rsid w:val="009509AB"/>
    <w:rsid w:val="009721CE"/>
    <w:rsid w:val="009A76AB"/>
    <w:rsid w:val="009C6F53"/>
    <w:rsid w:val="00A20E03"/>
    <w:rsid w:val="00A245D6"/>
    <w:rsid w:val="00A2564D"/>
    <w:rsid w:val="00A468CC"/>
    <w:rsid w:val="00A70988"/>
    <w:rsid w:val="00A74521"/>
    <w:rsid w:val="00A92207"/>
    <w:rsid w:val="00A94914"/>
    <w:rsid w:val="00AB51B4"/>
    <w:rsid w:val="00AC5D11"/>
    <w:rsid w:val="00AD1904"/>
    <w:rsid w:val="00AE17B4"/>
    <w:rsid w:val="00B00BC4"/>
    <w:rsid w:val="00B160CE"/>
    <w:rsid w:val="00B2536A"/>
    <w:rsid w:val="00B27093"/>
    <w:rsid w:val="00B31C02"/>
    <w:rsid w:val="00B65744"/>
    <w:rsid w:val="00B67F98"/>
    <w:rsid w:val="00B90278"/>
    <w:rsid w:val="00BD4B79"/>
    <w:rsid w:val="00BE3008"/>
    <w:rsid w:val="00C25782"/>
    <w:rsid w:val="00C85DB0"/>
    <w:rsid w:val="00CA6B8A"/>
    <w:rsid w:val="00CB5CA3"/>
    <w:rsid w:val="00CE3D03"/>
    <w:rsid w:val="00D10C6F"/>
    <w:rsid w:val="00D22AAC"/>
    <w:rsid w:val="00D971E9"/>
    <w:rsid w:val="00DE274C"/>
    <w:rsid w:val="00E07FBF"/>
    <w:rsid w:val="00E12EFE"/>
    <w:rsid w:val="00E27D6D"/>
    <w:rsid w:val="00E468BA"/>
    <w:rsid w:val="00E51F30"/>
    <w:rsid w:val="00E94819"/>
    <w:rsid w:val="00E97390"/>
    <w:rsid w:val="00EB3AD5"/>
    <w:rsid w:val="00EC1069"/>
    <w:rsid w:val="00ED1FCA"/>
    <w:rsid w:val="00F013EC"/>
    <w:rsid w:val="00F15223"/>
    <w:rsid w:val="00F37BF2"/>
    <w:rsid w:val="00F65887"/>
    <w:rsid w:val="00F73084"/>
    <w:rsid w:val="00F736E5"/>
    <w:rsid w:val="00F87B40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EDC1"/>
  <w15:docId w15:val="{2ADCC5BB-F5F8-44DB-993B-7669AE62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C6F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04F24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04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04F24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rsid w:val="00904F2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9C6F5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1">
    <w:name w:val="FR1"/>
    <w:rsid w:val="009C6F53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snapToGrid w:val="0"/>
      <w:sz w:val="40"/>
    </w:rPr>
  </w:style>
  <w:style w:type="paragraph" w:customStyle="1" w:styleId="11">
    <w:name w:val="Стиль1"/>
    <w:basedOn w:val="a"/>
    <w:rsid w:val="009C6F53"/>
    <w:pPr>
      <w:widowControl/>
      <w:autoSpaceDE/>
      <w:autoSpaceDN/>
      <w:adjustRightInd/>
    </w:pPr>
    <w:rPr>
      <w:b/>
      <w:i/>
      <w:sz w:val="24"/>
      <w:szCs w:val="24"/>
    </w:rPr>
  </w:style>
  <w:style w:type="paragraph" w:styleId="a5">
    <w:name w:val="Title"/>
    <w:basedOn w:val="a"/>
    <w:link w:val="a6"/>
    <w:qFormat/>
    <w:rsid w:val="00EC1069"/>
    <w:pPr>
      <w:widowControl/>
      <w:autoSpaceDE/>
      <w:autoSpaceDN/>
      <w:adjustRightInd/>
      <w:ind w:firstLine="566"/>
      <w:jc w:val="center"/>
    </w:pPr>
    <w:rPr>
      <w:b/>
      <w:color w:val="000000"/>
      <w:w w:val="94"/>
      <w:sz w:val="28"/>
      <w:szCs w:val="24"/>
    </w:rPr>
  </w:style>
  <w:style w:type="character" w:customStyle="1" w:styleId="a6">
    <w:name w:val="Заголовок Знак"/>
    <w:link w:val="a5"/>
    <w:rsid w:val="00EC1069"/>
    <w:rPr>
      <w:rFonts w:ascii="Times New Roman" w:eastAsia="Times New Roman" w:hAnsi="Times New Roman"/>
      <w:b/>
      <w:color w:val="000000"/>
      <w:w w:val="94"/>
      <w:sz w:val="28"/>
      <w:szCs w:val="24"/>
    </w:rPr>
  </w:style>
  <w:style w:type="paragraph" w:styleId="a7">
    <w:name w:val="Normal (Web)"/>
    <w:basedOn w:val="a"/>
    <w:uiPriority w:val="99"/>
    <w:rsid w:val="00EC10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EC106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EC1069"/>
    <w:rPr>
      <w:rFonts w:ascii="Courier New" w:eastAsia="Times New Roman" w:hAnsi="Courier New"/>
    </w:rPr>
  </w:style>
  <w:style w:type="character" w:styleId="aa">
    <w:name w:val="Strong"/>
    <w:uiPriority w:val="22"/>
    <w:qFormat/>
    <w:rsid w:val="000F2736"/>
    <w:rPr>
      <w:b/>
      <w:bCs/>
    </w:rPr>
  </w:style>
  <w:style w:type="paragraph" w:styleId="HTML">
    <w:name w:val="HTML Preformatted"/>
    <w:basedOn w:val="a"/>
    <w:link w:val="HTML0"/>
    <w:uiPriority w:val="99"/>
    <w:rsid w:val="000F27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736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44F1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44F16"/>
    <w:rPr>
      <w:rFonts w:ascii="Times New Roman" w:eastAsia="Times New Roman" w:hAnsi="Times New Roman"/>
    </w:rPr>
  </w:style>
  <w:style w:type="character" w:styleId="af">
    <w:name w:val="Hyperlink"/>
    <w:uiPriority w:val="99"/>
    <w:unhideWhenUsed/>
    <w:rsid w:val="00A94914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178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78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edsovet.pro/index.php?option=com_content&amp;view=article&amp;id=6990:sistema-lichnostnoorientirovannogo-obucheniya-v-sredney-shkole&amp;catid=69:pedagogics&amp;Itemid=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fus245</cp:lastModifiedBy>
  <cp:revision>5</cp:revision>
  <cp:lastPrinted>2018-02-20T09:32:00Z</cp:lastPrinted>
  <dcterms:created xsi:type="dcterms:W3CDTF">2018-01-16T14:14:00Z</dcterms:created>
  <dcterms:modified xsi:type="dcterms:W3CDTF">2018-02-20T09:33:00Z</dcterms:modified>
</cp:coreProperties>
</file>