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9E2" w:rsidRPr="004649E2" w:rsidRDefault="004649E2" w:rsidP="004649E2">
      <w:pPr>
        <w:pStyle w:val="a5"/>
        <w:jc w:val="center"/>
        <w:rPr>
          <w:b/>
          <w:color w:val="000000"/>
          <w:sz w:val="27"/>
          <w:szCs w:val="27"/>
        </w:rPr>
      </w:pPr>
      <w:r w:rsidRPr="004649E2">
        <w:rPr>
          <w:b/>
          <w:color w:val="000000"/>
          <w:sz w:val="27"/>
          <w:szCs w:val="27"/>
        </w:rPr>
        <w:t>МИНИСТЕРСТВО ОБРАЗОВАНИЯ И НАУКИ</w:t>
      </w:r>
    </w:p>
    <w:p w:rsidR="004649E2" w:rsidRPr="004649E2" w:rsidRDefault="004649E2" w:rsidP="004649E2">
      <w:pPr>
        <w:pStyle w:val="a5"/>
        <w:jc w:val="center"/>
        <w:rPr>
          <w:b/>
          <w:color w:val="000000"/>
          <w:sz w:val="27"/>
          <w:szCs w:val="27"/>
        </w:rPr>
      </w:pPr>
      <w:r w:rsidRPr="004649E2">
        <w:rPr>
          <w:b/>
          <w:color w:val="000000"/>
          <w:sz w:val="27"/>
          <w:szCs w:val="27"/>
        </w:rPr>
        <w:t>ФЕДЕРАЛЬНОЕ ГОСУДАРСТВЕННОЕ БЮДЖЕТНОЕ ОБРАЗОВАТЕЛЬНОЕ УЧРЕЖДЕНИЕ ВЫСШЕГО ОБРАЗОВАНИЯ</w:t>
      </w:r>
    </w:p>
    <w:p w:rsidR="004649E2" w:rsidRPr="004649E2" w:rsidRDefault="004649E2" w:rsidP="004649E2">
      <w:pPr>
        <w:pStyle w:val="a5"/>
        <w:jc w:val="center"/>
        <w:rPr>
          <w:b/>
          <w:color w:val="000000"/>
          <w:sz w:val="27"/>
          <w:szCs w:val="27"/>
        </w:rPr>
      </w:pPr>
      <w:r w:rsidRPr="004649E2">
        <w:rPr>
          <w:b/>
          <w:color w:val="000000"/>
          <w:sz w:val="27"/>
          <w:szCs w:val="27"/>
        </w:rPr>
        <w:t>«ТВЕРСКОЙ ГОСУДАРСТВЕННЫЙ УНИВЕРСИТЕТ»</w:t>
      </w:r>
    </w:p>
    <w:p w:rsidR="004649E2" w:rsidRPr="004649E2" w:rsidRDefault="004649E2" w:rsidP="004649E2">
      <w:pPr>
        <w:pStyle w:val="a5"/>
        <w:jc w:val="center"/>
        <w:rPr>
          <w:b/>
          <w:color w:val="000000"/>
          <w:sz w:val="27"/>
          <w:szCs w:val="27"/>
        </w:rPr>
      </w:pPr>
      <w:r w:rsidRPr="004649E2">
        <w:rPr>
          <w:b/>
          <w:color w:val="000000"/>
          <w:sz w:val="27"/>
          <w:szCs w:val="27"/>
        </w:rPr>
        <w:t>ЮРИДИЧЕСКИЙ ФАКУЛЬТЕТ</w:t>
      </w:r>
    </w:p>
    <w:p w:rsidR="004649E2" w:rsidRPr="004649E2" w:rsidRDefault="004649E2" w:rsidP="004649E2">
      <w:pPr>
        <w:pStyle w:val="a5"/>
        <w:jc w:val="center"/>
        <w:rPr>
          <w:b/>
          <w:color w:val="000000"/>
          <w:sz w:val="27"/>
          <w:szCs w:val="27"/>
        </w:rPr>
      </w:pPr>
    </w:p>
    <w:p w:rsidR="004649E2" w:rsidRPr="004649E2" w:rsidRDefault="004649E2" w:rsidP="004649E2">
      <w:pPr>
        <w:pStyle w:val="a5"/>
        <w:jc w:val="center"/>
        <w:rPr>
          <w:b/>
          <w:color w:val="000000"/>
          <w:sz w:val="27"/>
          <w:szCs w:val="27"/>
        </w:rPr>
      </w:pPr>
    </w:p>
    <w:p w:rsidR="004649E2" w:rsidRPr="004649E2" w:rsidRDefault="004649E2" w:rsidP="004649E2">
      <w:pPr>
        <w:pStyle w:val="a5"/>
        <w:jc w:val="center"/>
        <w:rPr>
          <w:b/>
          <w:color w:val="000000"/>
          <w:sz w:val="27"/>
          <w:szCs w:val="27"/>
        </w:rPr>
      </w:pPr>
      <w:r w:rsidRPr="004649E2">
        <w:rPr>
          <w:b/>
          <w:color w:val="000000"/>
          <w:sz w:val="27"/>
          <w:szCs w:val="27"/>
        </w:rPr>
        <w:t>Научная работа на тему:</w:t>
      </w:r>
    </w:p>
    <w:p w:rsidR="004649E2" w:rsidRPr="004649E2" w:rsidRDefault="004649E2" w:rsidP="004649E2">
      <w:pPr>
        <w:pStyle w:val="a5"/>
        <w:jc w:val="center"/>
        <w:rPr>
          <w:b/>
          <w:color w:val="000000"/>
          <w:sz w:val="27"/>
          <w:szCs w:val="27"/>
        </w:rPr>
      </w:pPr>
      <w:r w:rsidRPr="004649E2">
        <w:rPr>
          <w:b/>
          <w:color w:val="000000"/>
          <w:sz w:val="27"/>
          <w:szCs w:val="27"/>
        </w:rPr>
        <w:t>“К вопросу о проблемах законодательства в области экологического просвещения молодежи”</w:t>
      </w:r>
    </w:p>
    <w:p w:rsidR="004649E2" w:rsidRDefault="004649E2" w:rsidP="004649E2">
      <w:pPr>
        <w:pStyle w:val="a5"/>
        <w:rPr>
          <w:color w:val="000000"/>
          <w:sz w:val="27"/>
          <w:szCs w:val="27"/>
        </w:rPr>
      </w:pPr>
    </w:p>
    <w:p w:rsidR="004649E2" w:rsidRDefault="004649E2" w:rsidP="004649E2">
      <w:pPr>
        <w:pStyle w:val="a5"/>
        <w:rPr>
          <w:color w:val="000000"/>
          <w:sz w:val="27"/>
          <w:szCs w:val="27"/>
        </w:rPr>
      </w:pPr>
    </w:p>
    <w:p w:rsidR="004649E2" w:rsidRDefault="004649E2" w:rsidP="004649E2">
      <w:pPr>
        <w:pStyle w:val="a5"/>
        <w:rPr>
          <w:color w:val="000000"/>
          <w:sz w:val="27"/>
          <w:szCs w:val="27"/>
        </w:rPr>
      </w:pPr>
    </w:p>
    <w:p w:rsidR="004649E2" w:rsidRDefault="004649E2" w:rsidP="004649E2">
      <w:pPr>
        <w:pStyle w:val="a5"/>
        <w:rPr>
          <w:color w:val="000000"/>
          <w:sz w:val="27"/>
          <w:szCs w:val="27"/>
        </w:rPr>
      </w:pPr>
    </w:p>
    <w:p w:rsidR="004649E2" w:rsidRDefault="004649E2" w:rsidP="004649E2">
      <w:pPr>
        <w:pStyle w:val="a5"/>
        <w:rPr>
          <w:color w:val="000000"/>
          <w:sz w:val="27"/>
          <w:szCs w:val="27"/>
        </w:rPr>
      </w:pPr>
    </w:p>
    <w:p w:rsidR="004649E2" w:rsidRDefault="004649E2" w:rsidP="004649E2">
      <w:pPr>
        <w:pStyle w:val="a5"/>
        <w:rPr>
          <w:color w:val="000000"/>
          <w:sz w:val="27"/>
          <w:szCs w:val="27"/>
        </w:rPr>
      </w:pPr>
    </w:p>
    <w:p w:rsidR="004649E2" w:rsidRDefault="004649E2" w:rsidP="004649E2">
      <w:pPr>
        <w:pStyle w:val="a5"/>
        <w:rPr>
          <w:color w:val="000000"/>
          <w:sz w:val="27"/>
          <w:szCs w:val="27"/>
        </w:rPr>
      </w:pPr>
    </w:p>
    <w:p w:rsidR="004649E2" w:rsidRDefault="004649E2" w:rsidP="004649E2">
      <w:pPr>
        <w:pStyle w:val="a5"/>
        <w:rPr>
          <w:color w:val="000000"/>
          <w:sz w:val="27"/>
          <w:szCs w:val="27"/>
        </w:rPr>
      </w:pPr>
    </w:p>
    <w:p w:rsidR="004649E2" w:rsidRDefault="004649E2" w:rsidP="004649E2">
      <w:pPr>
        <w:pStyle w:val="a5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Выполнили студенты 3 курса:</w:t>
      </w:r>
    </w:p>
    <w:p w:rsidR="004649E2" w:rsidRDefault="004649E2" w:rsidP="004649E2">
      <w:pPr>
        <w:pStyle w:val="a5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Тютюнов Алексей Сергеевич- 32 гр.</w:t>
      </w:r>
    </w:p>
    <w:p w:rsidR="004649E2" w:rsidRDefault="004649E2" w:rsidP="004649E2">
      <w:pPr>
        <w:pStyle w:val="a5"/>
        <w:jc w:val="righ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Талышова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Раксана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Семур-гызы</w:t>
      </w:r>
      <w:proofErr w:type="spellEnd"/>
      <w:r>
        <w:rPr>
          <w:color w:val="000000"/>
          <w:sz w:val="27"/>
          <w:szCs w:val="27"/>
        </w:rPr>
        <w:t>- 32 гр.</w:t>
      </w:r>
    </w:p>
    <w:p w:rsidR="004649E2" w:rsidRDefault="004649E2" w:rsidP="004649E2">
      <w:pPr>
        <w:pStyle w:val="a5"/>
        <w:jc w:val="righ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Хихловская</w:t>
      </w:r>
      <w:proofErr w:type="spellEnd"/>
      <w:r>
        <w:rPr>
          <w:color w:val="000000"/>
          <w:sz w:val="27"/>
          <w:szCs w:val="27"/>
        </w:rPr>
        <w:t xml:space="preserve"> Юлия Владимировна- 32 гр.</w:t>
      </w:r>
    </w:p>
    <w:p w:rsidR="004649E2" w:rsidRDefault="004649E2" w:rsidP="004649E2">
      <w:pPr>
        <w:pStyle w:val="a5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Барков Александр Юрьевич- 31 гр.</w:t>
      </w:r>
    </w:p>
    <w:p w:rsidR="004649E2" w:rsidRDefault="004649E2" w:rsidP="004649E2">
      <w:pPr>
        <w:pStyle w:val="a5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Гусейнов Даниил Игоревич- 31 гр.</w:t>
      </w:r>
    </w:p>
    <w:p w:rsidR="00D314F3" w:rsidRDefault="001C17F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Волга - одна из крупнейших рек в мире, самая длинная река в Европе. Она обладает огромным ресурсным потенциалом. Она используется для промысловой рыбной ловли, водоснабжения инфраструктуры и населения, электроэнергетики, судоходства. Волга имеет особое научное, культурное, эстетическое и рекреационное значение.</w:t>
      </w:r>
    </w:p>
    <w:p w:rsidR="00D314F3" w:rsidRDefault="001C17F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Однако крупнейший водоем Европы – площадь Волжского бассейна составляет 8% территории России (1 миллион 360 тысяч квадратных километров) – один из самых грязных в России. Согласно исследованию Всемирного банка, крупные притоки Волги, такие как Ока и Кама, оцениваются как "очень грязные", а местами даже как "чрезвычайно грязные"(нужна ссылка).</w:t>
      </w:r>
    </w:p>
    <w:p w:rsidR="00D314F3" w:rsidRDefault="001C17F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решения данной проблемы, по нашему мнению, необходимо наладить не только качественную, продуктивную работу правоохранительных органов и других государственных структур по защите и контролю качества воды в Волге, но в первую очередь проработать на законодательном уровне вопрос просвещения молодого поколения. Важность этого вопроса видится нам по той причине, что на данном этапе развития технологий нет возможности решить подобную экологическую проблему в короткий срок. Возможно, на решение данной проблемы понадобиться работа нескольких поколений. Именно поэтому очень важно создать у будущих поколений такое мышление, привить им такое уважение к природе, благодаря которому они смогут как минимум не продолжать загрязнение столь важного для нашей страны водного объекта, а в идеале решать проблему загрязнения, которая создалась по вине предшествующих поколений многими годами.</w:t>
      </w:r>
    </w:p>
    <w:p w:rsidR="00D314F3" w:rsidRDefault="001C17F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Предлагаем обратить внимание на экологическое просвещение студентов, обучающихся в образовательных учреждениях среднего профессионального образования (колледжах, техникумах, училищах) и на студентов, обучающихся в университетах (касательно нашего региона речь идёт прежде всего о Тверском государственном техническом университете). Речь идёт прежде всего о студентах, обучающихся по техническим специальностям. На данный момент государственная политика в области образования уделяет наибольшее внимание подготовке кадров, которые были бы профессионалами своей специальности, однако вопрос об их экологическом воспитании ставится на второй план. Какую это может вызвать проблему в будущем? В первую очередь у выпускника-инженера при проектировке, например, нового станка для обработки дерева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будет цель создать продуктивный механизм, который смог бы максимизировать результат производства, но лишь в последнюю очередь он будет думать о том, как минимизировать отходы от работы такого станка. На наш взгляд, такое мышление сейчас преобладает в умах большинства современных специалистов, но мы в корне не согласны с таким «национальным менталитетом» и считаем, что вопрос о максимизации результатов производства и минимизации отходов (и даже их правильной утилизации) должны рассматриваться в совокупности. </w:t>
      </w:r>
    </w:p>
    <w:p w:rsidR="00D314F3" w:rsidRDefault="001C17F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п. 3 ст. 10 Закона Тверской области «Об экологическом образовании, просвещении и формировании экологической культуры в Тверской области» указаны формы, в которых осуществляется экологическое просвещение. Перечень является открытым, однако для того, чтобы уделить наибольшее внимание данному вопросу, мы предлагаем добавить в перечень ещё один пункт: «Организация и проведение в средних и высших образовательных учреждениях, обучающих студентов по техническим специальностям, лекций и обучающих курсов по внедрению и совершенствованию технологий, относящихся к их предполагаемой профессии, на предмет совершенствования экологической ситуации в регионе, а именно уменьшение негативного влияния на атмосферный воздух, минимизацию отходов производства, избегание загрязнения водных объектов».</w:t>
      </w:r>
    </w:p>
    <w:p w:rsidR="00D314F3" w:rsidRDefault="001C17F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Наблюдения за состоянием водных объектов показывают, что на данный момент уровень экологического просвещения граждан крайне низок, что касается как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старшего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так и младших поколений. Сделать такой вывод может абсолютно любой человек, обратив внимание на популярные места отдыха людей в весенний и летний периоды. В эти периоды становятся популярными виды отдыха у водных объектов в том числе у реки Волга: рыбалка, купания, выезды на шашлыки и т.д. К сожалению, после такого отдыха многие люди не утруждают себя убрать мусор положенным способом, а в лучшем случае оставляют его на месте отдыха. В результате в воде оказываются стеклянные, пластиковые и иные отходы потребления. Безусловно, контролировать каждый такой случай и призывать к ответственности виновных крайне сложно, даже невозможно, поэтому, на наш взгляд, необходимо заострить внимание именно на экологическом просвещении. Здесь в первую очередь необходимо отметить важную роль общественного экологического контроля. Так в ч.6 ст. 68 ФЗ «Об охране окружающей среды» 03.07.2016 был введён п. 6, в котором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указывается на то, что общественные инспекторы по охране окружающей среды имеют право участвовать в работе по экологическому просвещению населения. На наш взгляд, введение данного пункта коренным образом не решит повсеместную проблему экологического просвещения, ведь право участвовать в экологическом просвещении населения по сути дано каждому гражданину, а не только общественному инспектору. Встаёт вопрос о том, какая необходимость была во введении данного пункта в ч.6 ст. 68 ФЗ «Об охране окружающей среды». Возможно, стоит искать пояснения о том, что же должна включать в себя работа по экологическому просвещению граждан в других НПА. Мы также обратились к Приказу Министерства природных ресурсов и экологии Российской Федерации от 12 июля 2017 г. №403 «Об утверждении порядка организации деятельности общественных инспекторов по охране окружающей среды», но и в этом приказе присутствует ссылка на лишь на ФЗ «Об охране окружающей среды» и упоминается о вышеуказанном праве общественного инспектора. Предполагается, что заложенная в федеральный закон идея должна поспособствовать развитию регионального законодательства в данной сфере. Именно на региональное законодательство ложится ответственность чётко сформулировать какую именно работу может осуществлять общественный инспектор в сфере экологического просвещения, а также какие проводить мероприятия для этого. </w:t>
      </w:r>
    </w:p>
    <w:p w:rsidR="00D314F3" w:rsidRDefault="001C17F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этого не сделать, то идея, которая заложена в п. 6 ч.6 ст. 68 ФЗ «Об охране окружающей среды», так и останется лишь идеей и не получит практической реализации. В связи с этим предлагаем Министерству природных ресурсов и экологии Тверской области утвердить Приказом соответствующие методические рекомендации по работе общественного инспектора, а в сфере экологического просвещения населения уточнить следующие права:</w:t>
      </w:r>
    </w:p>
    <w:p w:rsidR="00D314F3" w:rsidRDefault="001C17F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назначать и проводить обязательные лекции, направленные на экологическое просвещение молодежи, в средних и высших образовательных учебных заведениях;</w:t>
      </w:r>
    </w:p>
    <w:p w:rsidR="00D314F3" w:rsidRDefault="001C17F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организовывать и проводить субботники на загрязненных территориях Тверской области, а также вдоль берегов водных объектов;</w:t>
      </w:r>
    </w:p>
    <w:p w:rsidR="00D314F3" w:rsidRDefault="001C17F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организовывать и проводить экскурсии по памятникам природы Тверской области.</w:t>
      </w:r>
    </w:p>
    <w:p w:rsidR="00D314F3" w:rsidRDefault="001C17F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Также, по нашему мнению, есть смысл обратить внимание на п. 1 ч. 2 ст. 4 Закона Тверской области «Об экологическом образовании,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просвещении и формировании экологической культуры в Тверской области», в котором сказано, что “основными задачами экологического образования, просвещения и формирования экологической культуры в Тверской области являются: 1) создание благоприятных условий для экологического образования, просвещения и формирования экологической культуры в Тверской области”. В данном абзаце хотелось бы видеть более подробное разъяснение понятия “благоприятные условия”, так как не совсем ясно, что оно из себя представляет в этом контексте. Возможно, законодатель имел в виду какие-то технические условия, например, информационно-техническое обеспечение классов школ и аудиторий университетов, где реализуются программы экологического образования, а возможно речь идет о какой-либо подготовке уже в процессе самого обучения, просвещения и формирования экологической культуры. Следовательно, необходимо некоторое разъяснение данного положения. </w:t>
      </w:r>
    </w:p>
    <w:p w:rsidR="00D314F3" w:rsidRDefault="001C17F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Еще один пункт вышеупомянутого Закона (п.2 ст. 6) гласит: “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Государственная политика Тверской области в сфере экологического образования, просвещения и формирования экологической культуры осуществляется органами государственной власти Тверской области следующими способами: включение мероприятий по осуществлению и развитию экологического образования и просвещения, формированию экологической культуры в программы социально-экономического развития Тверской области и государственные программы Тверской области (в том числе по использованию природных ресурсов, охране окружающей среды, образованию, здравоохранению, развитию культуры и искусства, спорта, туризма и другие)”. Здесь мы считаем необходимым указать конкретные мероприятия, которые бы способствовали осуществлению и развитию экологического образования и просвещения. Например, так как они указаны в п. 2 ч. 2 ст. 9 того же закона, а именно, конкурсы, выставки, олимпиады. Также считаем возможным и полезным включение таких мероприятий как субботники, круглые столы, посвященные обсуждению и решению экологических проблем. </w:t>
      </w:r>
    </w:p>
    <w:p w:rsidR="00D314F3" w:rsidRDefault="001C17F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День Волги – хороший повод напомнить о проблемах великой реки молодому поколению. Для этой цели нашей группой подготовлен проект проведения урока в школе, который рассчитан на восприятие младших-средних классов и поспособствует формированию экологической культуры школьников.</w:t>
      </w:r>
    </w:p>
    <w:p w:rsidR="00D314F3" w:rsidRDefault="00D314F3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314F3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F3"/>
    <w:rsid w:val="001C17F0"/>
    <w:rsid w:val="001D24C9"/>
    <w:rsid w:val="004649E2"/>
    <w:rsid w:val="005968A8"/>
    <w:rsid w:val="00D14CF3"/>
    <w:rsid w:val="00D3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CAC2"/>
  <w15:docId w15:val="{9752C86E-2B8C-4FCA-9BA8-3F1824C8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464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RePack by Diakov</cp:lastModifiedBy>
  <cp:revision>2</cp:revision>
  <dcterms:created xsi:type="dcterms:W3CDTF">2018-05-16T23:55:00Z</dcterms:created>
  <dcterms:modified xsi:type="dcterms:W3CDTF">2018-05-16T23:55:00Z</dcterms:modified>
</cp:coreProperties>
</file>