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4F" w:rsidRPr="00A74E5A" w:rsidRDefault="00136F32" w:rsidP="007C454F">
      <w:pPr>
        <w:tabs>
          <w:tab w:val="left" w:pos="15105"/>
          <w:tab w:val="right" w:pos="16838"/>
        </w:tabs>
        <w:spacing w:line="360" w:lineRule="auto"/>
        <w:ind w:right="-2" w:firstLine="709"/>
        <w:contextualSpacing/>
        <w:jc w:val="center"/>
        <w:rPr>
          <w:b/>
          <w:sz w:val="28"/>
          <w:szCs w:val="28"/>
        </w:rPr>
      </w:pPr>
      <w:r w:rsidRPr="00A74E5A">
        <w:rPr>
          <w:b/>
          <w:sz w:val="28"/>
          <w:szCs w:val="28"/>
        </w:rPr>
        <w:t>В</w:t>
      </w:r>
      <w:r w:rsidR="0075522D">
        <w:rPr>
          <w:b/>
          <w:sz w:val="28"/>
          <w:szCs w:val="28"/>
        </w:rPr>
        <w:t>веде</w:t>
      </w:r>
      <w:r w:rsidR="006D65B0">
        <w:rPr>
          <w:b/>
          <w:sz w:val="28"/>
          <w:szCs w:val="28"/>
        </w:rPr>
        <w:t>ние</w:t>
      </w:r>
    </w:p>
    <w:p w:rsidR="007C454F" w:rsidRDefault="00A618A0" w:rsidP="007C454F">
      <w:pPr>
        <w:tabs>
          <w:tab w:val="left" w:pos="15105"/>
          <w:tab w:val="right" w:pos="16838"/>
        </w:tabs>
        <w:spacing w:line="360" w:lineRule="auto"/>
        <w:ind w:right="-2"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Данная тема</w:t>
      </w:r>
      <w:r w:rsidR="00B5620E">
        <w:rPr>
          <w:sz w:val="28"/>
          <w:szCs w:val="28"/>
        </w:rPr>
        <w:t xml:space="preserve"> заслуживает внимания,</w:t>
      </w:r>
      <w:r w:rsidRPr="00136F32">
        <w:rPr>
          <w:sz w:val="28"/>
          <w:szCs w:val="28"/>
        </w:rPr>
        <w:t xml:space="preserve"> поскольку на современном этапе внешняя торговля составляет важную роль в экономическом развитии любого государства.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right="-2"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 связи с нелегкой экономической ситуацией в мире, Россия в основном ведет торговые отношения в рамках ЕАЭС. </w:t>
      </w:r>
      <w:r w:rsidR="00D65187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К 2025 году результаты экономического развития ЕАЭС должны показать мировую конкурентоспособность данного интеграционного объединения.</w:t>
      </w:r>
      <w:r w:rsidR="00136F32">
        <w:rPr>
          <w:sz w:val="28"/>
          <w:szCs w:val="28"/>
        </w:rPr>
        <w:t xml:space="preserve"> 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Стоит отметить, что внешнеторговая деятельность представляет собой очень динамичный процесс, который требует постоянного регулирования со стороны всех государств-членов ЕАЭС.</w:t>
      </w:r>
      <w:r w:rsid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Регулирование внешней торговли в странах ЕАЭС состоит в создании наиболее благоприятных условий для развития национальной экономики, продвижения отечественных производителей на мировой рынок.</w:t>
      </w:r>
    </w:p>
    <w:p w:rsidR="00D65187" w:rsidRDefault="00A618A0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Актуальность данной темы состоит в том, что в настоящее время осуществление внешнеторговой деятельности в рамках ЕАЭС является основной целью для всех стран-союзников этого объединения.</w:t>
      </w:r>
    </w:p>
    <w:p w:rsidR="00A618A0" w:rsidRPr="00136F32" w:rsidRDefault="00A618A0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 данной курсовой работе раскрыты такие понятия как:</w:t>
      </w:r>
      <w:r w:rsidR="00136F32">
        <w:rPr>
          <w:sz w:val="28"/>
          <w:szCs w:val="28"/>
        </w:rPr>
        <w:t xml:space="preserve"> внешнеторговая деятельность;</w:t>
      </w:r>
      <w:r w:rsidR="00136F32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тарифное регулирование внешней </w:t>
      </w:r>
      <w:r w:rsidR="00136F32">
        <w:rPr>
          <w:sz w:val="28"/>
          <w:szCs w:val="28"/>
        </w:rPr>
        <w:t>торговли;</w:t>
      </w:r>
      <w:r w:rsidRPr="00136F32">
        <w:rPr>
          <w:sz w:val="28"/>
          <w:szCs w:val="28"/>
        </w:rPr>
        <w:t xml:space="preserve"> нетарифное регулирование внешн</w:t>
      </w:r>
      <w:r w:rsidR="00136F32">
        <w:rPr>
          <w:sz w:val="28"/>
          <w:szCs w:val="28"/>
        </w:rPr>
        <w:t>ей торговли;</w:t>
      </w:r>
      <w:r w:rsidRPr="00136F32">
        <w:rPr>
          <w:sz w:val="28"/>
          <w:szCs w:val="28"/>
        </w:rPr>
        <w:t xml:space="preserve"> таможенная </w:t>
      </w:r>
      <w:r w:rsidR="00136F32">
        <w:rPr>
          <w:sz w:val="28"/>
          <w:szCs w:val="28"/>
        </w:rPr>
        <w:t>пошлина;</w:t>
      </w:r>
      <w:r w:rsidR="00136F32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Единый таможенный тариф ЕАЭС.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 xml:space="preserve">Целью данной курсовой является </w:t>
      </w:r>
      <w:r w:rsidR="00A77F22">
        <w:rPr>
          <w:sz w:val="28"/>
          <w:szCs w:val="28"/>
        </w:rPr>
        <w:t>показать особенности осуществления внешнеторговой деятельности</w:t>
      </w:r>
      <w:r w:rsidRPr="00136F32">
        <w:rPr>
          <w:sz w:val="28"/>
          <w:szCs w:val="28"/>
        </w:rPr>
        <w:t xml:space="preserve"> такого интеграционного объединения, как ЕАЭС.</w:t>
      </w:r>
    </w:p>
    <w:p w:rsidR="00D65187" w:rsidRDefault="00045BDA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0162">
        <w:rPr>
          <w:sz w:val="28"/>
          <w:szCs w:val="28"/>
        </w:rPr>
        <w:t xml:space="preserve">Достижению </w:t>
      </w:r>
      <w:r w:rsidR="00136F32">
        <w:rPr>
          <w:sz w:val="28"/>
          <w:szCs w:val="28"/>
        </w:rPr>
        <w:t>поставленной цели</w:t>
      </w:r>
      <w:r w:rsidR="005B0162">
        <w:rPr>
          <w:sz w:val="28"/>
          <w:szCs w:val="28"/>
        </w:rPr>
        <w:t xml:space="preserve"> служит решение</w:t>
      </w:r>
      <w:r w:rsidR="00136F32">
        <w:rPr>
          <w:sz w:val="28"/>
          <w:szCs w:val="28"/>
        </w:rPr>
        <w:t xml:space="preserve"> следующих задач</w:t>
      </w:r>
      <w:r w:rsidR="00A618A0" w:rsidRPr="00136F32">
        <w:rPr>
          <w:sz w:val="28"/>
          <w:szCs w:val="28"/>
        </w:rPr>
        <w:t>:</w:t>
      </w:r>
      <w:r w:rsidR="007F585D">
        <w:rPr>
          <w:sz w:val="28"/>
          <w:szCs w:val="28"/>
        </w:rPr>
        <w:t xml:space="preserve">       </w:t>
      </w:r>
    </w:p>
    <w:p w:rsidR="00D65187" w:rsidRDefault="00136F32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0162">
        <w:rPr>
          <w:sz w:val="28"/>
          <w:szCs w:val="28"/>
        </w:rPr>
        <w:t>) Изучить</w:t>
      </w:r>
      <w:r>
        <w:rPr>
          <w:sz w:val="28"/>
          <w:szCs w:val="28"/>
        </w:rPr>
        <w:t xml:space="preserve"> </w:t>
      </w:r>
      <w:r w:rsidR="005B0162">
        <w:rPr>
          <w:sz w:val="28"/>
          <w:szCs w:val="28"/>
        </w:rPr>
        <w:t>методы</w:t>
      </w:r>
      <w:r w:rsidR="0041029F">
        <w:rPr>
          <w:sz w:val="28"/>
          <w:szCs w:val="28"/>
        </w:rPr>
        <w:t xml:space="preserve"> осуществления</w:t>
      </w:r>
      <w:r>
        <w:rPr>
          <w:sz w:val="28"/>
          <w:szCs w:val="28"/>
        </w:rPr>
        <w:t xml:space="preserve"> внешнеторговой деятельности в рамках </w:t>
      </w:r>
      <w:r w:rsidR="003272B0">
        <w:rPr>
          <w:sz w:val="28"/>
          <w:szCs w:val="28"/>
        </w:rPr>
        <w:t>ЕАЭС</w:t>
      </w:r>
      <w:r w:rsidR="00A77F22">
        <w:rPr>
          <w:sz w:val="28"/>
          <w:szCs w:val="28"/>
        </w:rPr>
        <w:t>,</w:t>
      </w:r>
    </w:p>
    <w:p w:rsidR="00136F32" w:rsidRDefault="00D65187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5B0162">
        <w:rPr>
          <w:sz w:val="28"/>
          <w:szCs w:val="28"/>
        </w:rPr>
        <w:t>Рассмотреть государственное регулирование</w:t>
      </w:r>
      <w:r w:rsidR="0041029F">
        <w:rPr>
          <w:sz w:val="28"/>
          <w:szCs w:val="28"/>
        </w:rPr>
        <w:t xml:space="preserve"> внешнеторговой деятельности в рамках ЕАЭС,</w:t>
      </w:r>
    </w:p>
    <w:p w:rsidR="0041029F" w:rsidRDefault="0041029F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B0162">
        <w:rPr>
          <w:sz w:val="28"/>
          <w:szCs w:val="28"/>
        </w:rPr>
        <w:t xml:space="preserve"> Ознакомиться </w:t>
      </w:r>
      <w:r>
        <w:rPr>
          <w:sz w:val="28"/>
          <w:szCs w:val="28"/>
        </w:rPr>
        <w:t>с особенностями осуществления взаимной внешнеторговой деятельности стран-участниц ЕАЭС,</w:t>
      </w:r>
    </w:p>
    <w:p w:rsidR="0041029F" w:rsidRPr="00136F32" w:rsidRDefault="0041029F" w:rsidP="00D6518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Ра</w:t>
      </w:r>
      <w:r w:rsidR="005B0162">
        <w:rPr>
          <w:sz w:val="28"/>
          <w:szCs w:val="28"/>
        </w:rPr>
        <w:t>скрыть</w:t>
      </w:r>
      <w:r>
        <w:rPr>
          <w:sz w:val="28"/>
          <w:szCs w:val="28"/>
        </w:rPr>
        <w:t xml:space="preserve"> проблем</w:t>
      </w:r>
      <w:r w:rsidR="005B0162">
        <w:rPr>
          <w:sz w:val="28"/>
          <w:szCs w:val="28"/>
        </w:rPr>
        <w:t>ы и пути</w:t>
      </w:r>
      <w:r>
        <w:rPr>
          <w:sz w:val="28"/>
          <w:szCs w:val="28"/>
        </w:rPr>
        <w:t xml:space="preserve"> совершенствования внешнеторговой деятельности в рамках ЕАЭС. </w:t>
      </w:r>
    </w:p>
    <w:p w:rsidR="00A618A0" w:rsidRDefault="005B0162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</w:t>
      </w:r>
      <w:r w:rsidR="00421E8C">
        <w:rPr>
          <w:sz w:val="28"/>
          <w:szCs w:val="28"/>
        </w:rPr>
        <w:t xml:space="preserve">исследования </w:t>
      </w:r>
      <w:r>
        <w:rPr>
          <w:sz w:val="28"/>
          <w:szCs w:val="28"/>
        </w:rPr>
        <w:t xml:space="preserve">данной курсовой работы являются общественные отношения, складывающиеся в процессе осуществления внешнеторговой деятельности </w:t>
      </w:r>
      <w:r w:rsidR="00421E8C">
        <w:rPr>
          <w:sz w:val="28"/>
          <w:szCs w:val="28"/>
        </w:rPr>
        <w:t>в рамках ЕАЭС.</w:t>
      </w:r>
    </w:p>
    <w:p w:rsidR="00421E8C" w:rsidRPr="00136F32" w:rsidRDefault="00421E8C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Предметом исследования выступает совокупность правовых норм, которые регламентируют осуществление внешнеторговой деятельности в рамках ЕАЭС.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C454F" w:rsidRDefault="007C454F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C454F" w:rsidRDefault="007C454F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F585D" w:rsidRDefault="007F585D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65187" w:rsidRDefault="00D65187" w:rsidP="00421E8C">
      <w:pPr>
        <w:tabs>
          <w:tab w:val="left" w:pos="15105"/>
          <w:tab w:val="right" w:pos="16838"/>
        </w:tabs>
        <w:spacing w:line="360" w:lineRule="auto"/>
        <w:contextualSpacing/>
        <w:rPr>
          <w:sz w:val="28"/>
          <w:szCs w:val="28"/>
        </w:rPr>
      </w:pPr>
    </w:p>
    <w:p w:rsidR="00D65187" w:rsidRDefault="00D65187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D65187" w:rsidRDefault="00D65187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BE02FF" w:rsidRDefault="00BE02FF" w:rsidP="00A27768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BE02FF" w:rsidRDefault="00BE02FF" w:rsidP="00A27768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A618A0" w:rsidRPr="00A74E5A" w:rsidRDefault="007F585D" w:rsidP="00A27768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74E5A">
        <w:rPr>
          <w:b/>
          <w:sz w:val="28"/>
          <w:szCs w:val="28"/>
        </w:rPr>
        <w:lastRenderedPageBreak/>
        <w:t xml:space="preserve">Глава </w:t>
      </w:r>
      <w:r w:rsidRPr="00A74E5A">
        <w:rPr>
          <w:b/>
          <w:sz w:val="28"/>
          <w:szCs w:val="28"/>
          <w:lang w:val="en-US"/>
        </w:rPr>
        <w:t>I</w:t>
      </w:r>
      <w:r w:rsidRPr="00A74E5A">
        <w:rPr>
          <w:b/>
          <w:sz w:val="28"/>
          <w:szCs w:val="28"/>
        </w:rPr>
        <w:t xml:space="preserve">. </w:t>
      </w:r>
      <w:r w:rsidR="00A618A0" w:rsidRPr="00A74E5A">
        <w:rPr>
          <w:b/>
          <w:sz w:val="28"/>
          <w:szCs w:val="28"/>
        </w:rPr>
        <w:t xml:space="preserve"> Характеристика осуществления внешнеторговой деятельности в рамках ЕАЭС.</w:t>
      </w:r>
    </w:p>
    <w:p w:rsidR="00A618A0" w:rsidRPr="00A74E5A" w:rsidRDefault="00A618A0" w:rsidP="00A27768">
      <w:pPr>
        <w:pStyle w:val="af"/>
        <w:tabs>
          <w:tab w:val="left" w:pos="15105"/>
          <w:tab w:val="right" w:pos="16838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A74E5A">
        <w:rPr>
          <w:b/>
          <w:sz w:val="28"/>
          <w:szCs w:val="28"/>
        </w:rPr>
        <w:t>1.1 Методы осуществления внешнеторговой деятельности в рамках ЕАЭС.</w:t>
      </w:r>
    </w:p>
    <w:p w:rsidR="00A618A0" w:rsidRPr="00136F32" w:rsidRDefault="00A618A0" w:rsidP="00A27768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 любом государстве мира регулирование внешней торговли осуществляется посредством административных и экономических методов. Принято выделять два направления государственного регулирования внешней торговли тарифное и нетарифное.</w:t>
      </w:r>
    </w:p>
    <w:p w:rsidR="00A618A0" w:rsidRPr="00FD5B10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Тарифное</w:t>
      </w:r>
      <w:r w:rsidR="007F585D">
        <w:rPr>
          <w:sz w:val="28"/>
          <w:szCs w:val="28"/>
        </w:rPr>
        <w:t xml:space="preserve"> регулирование внешней торговли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Наиболее распространенными методами регулирования внешней торговли служат таможенно-тарифные инструменты. Их суть состоит во взимании таможенных пошлин, которые сведены в таможенный тариф страны.</w:t>
      </w:r>
    </w:p>
    <w:p w:rsidR="00BF041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Таможенная пошлина представляет собой обязательный платеж в федеральный бюджет, взимаемый таможенными органами в связи с перемещением товаров через таможенную границу Таможенного союза и в иных случаях, определенных в соответствии с международными договорами государств-членов Таможенного союза и (или) законодательством Российской Федерации.</w:t>
      </w:r>
      <w:r w:rsidR="00BF0410" w:rsidRPr="00136F32">
        <w:rPr>
          <w:rStyle w:val="af2"/>
          <w:sz w:val="28"/>
          <w:szCs w:val="28"/>
        </w:rPr>
        <w:footnoteReference w:id="1"/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Тарифное регулирование является важным инструментом внешней торговли, но сейчас все больше применяются нетарифные методы регулирования внешнеторговой деятельности.</w:t>
      </w:r>
      <w:r w:rsidR="007F585D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Меры нетарифного регулирования - это комплекс мер регулирования внешней торговли товарами, которые осуществляются с помощью введения количественных и </w:t>
      </w:r>
      <w:r w:rsidRPr="00136F32">
        <w:rPr>
          <w:sz w:val="28"/>
          <w:szCs w:val="28"/>
        </w:rPr>
        <w:lastRenderedPageBreak/>
        <w:t>иных запретов и ограничений экономического характера.</w:t>
      </w:r>
      <w:r w:rsidR="00BF0410" w:rsidRPr="00136F32">
        <w:rPr>
          <w:rStyle w:val="af2"/>
          <w:sz w:val="28"/>
          <w:szCs w:val="28"/>
        </w:rPr>
        <w:footnoteReference w:id="2"/>
      </w:r>
      <w:r w:rsidR="007F585D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Стоит отметить, что экономический характер таможенной пошлины состоит в том, что он создает стоимостной барьер, который повышает цену импортного товара.</w:t>
      </w:r>
      <w:r w:rsidR="007F585D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Пошлина является основным фактором, увеличивающим цену товара при его передвижении на внутренний рынок страны. Применяя пошлины, государство способно стимулировать развитие конкретных отраслей экономики.</w:t>
      </w:r>
      <w:r w:rsidR="007F585D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Торгово-политический характер таможенной пошлины состоит в том, что он защищает определенные отрасли экономики от иностранных конкурентных товаров и используется в качестве воздействия на конкурентов, для того чтобы принудить их пойти на определенные уступки.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Можно отметить, что в современной торгово-политической практике применяют два основных вида количественных ограничений: контингентирование и лицензионный порядок.</w:t>
      </w:r>
    </w:p>
    <w:p w:rsidR="00BF041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Контингентирование представляет собой количественные или стоимостные ограничения экспорта или импорта, вводимые на определенный срок по отдельным товарам и услугам, странам и группам стран.</w:t>
      </w:r>
    </w:p>
    <w:p w:rsidR="00BF041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 xml:space="preserve">Лицензионный порядок </w:t>
      </w:r>
      <w:r w:rsidR="00BA2391">
        <w:rPr>
          <w:sz w:val="28"/>
          <w:szCs w:val="28"/>
        </w:rPr>
        <w:t xml:space="preserve">- </w:t>
      </w:r>
      <w:r w:rsidRPr="00136F32">
        <w:rPr>
          <w:sz w:val="28"/>
          <w:szCs w:val="28"/>
        </w:rPr>
        <w:t>это запрещение свободного вывоза или ввоза товаров. Импорт (экспорт) может производит</w:t>
      </w:r>
      <w:r w:rsidR="00354DDD">
        <w:rPr>
          <w:sz w:val="28"/>
          <w:szCs w:val="28"/>
        </w:rPr>
        <w:t>ь</w:t>
      </w:r>
      <w:r w:rsidRPr="00136F32">
        <w:rPr>
          <w:sz w:val="28"/>
          <w:szCs w:val="28"/>
        </w:rPr>
        <w:t>ся только на основе специального разрешения лицензии.</w:t>
      </w:r>
    </w:p>
    <w:p w:rsidR="00BF041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Антидемпинговые процедуры представляют собой судебные и административные разбирательства претензий, которые предъявляются национальными предпринимателями против иностранных поставщиков, обвиняя их в продаже товаров по заниженным ценам.</w:t>
      </w:r>
      <w:r w:rsidR="007F585D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Лицензирование применяется на конкретные периоды времени по отдельным товарам, включенным в перечень продукции общегосударственного назначения.</w:t>
      </w:r>
    </w:p>
    <w:p w:rsidR="00BF041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lastRenderedPageBreak/>
        <w:t>Хотелось бы отметить, что по всей территории ЕАЭС применяется Единый таможенный тариф Евразийского Экономического Союза (ЕТТ ЕА</w:t>
      </w:r>
      <w:r w:rsidR="00BF0410" w:rsidRPr="00136F32">
        <w:rPr>
          <w:sz w:val="28"/>
          <w:szCs w:val="28"/>
        </w:rPr>
        <w:t xml:space="preserve">ЭС), </w:t>
      </w:r>
      <w:r w:rsidRPr="00136F32">
        <w:rPr>
          <w:sz w:val="28"/>
          <w:szCs w:val="28"/>
        </w:rPr>
        <w:t>который представляет собой - свод ставок ввозных таможенных пошлин, применяемых к товарам, ввозимым (ввезенным) на там</w:t>
      </w:r>
      <w:r w:rsidR="00BF0410" w:rsidRPr="00136F32">
        <w:rPr>
          <w:sz w:val="28"/>
          <w:szCs w:val="28"/>
        </w:rPr>
        <w:t xml:space="preserve">оженную территорию Евразийского </w:t>
      </w:r>
      <w:r w:rsidRPr="00136F32">
        <w:rPr>
          <w:sz w:val="28"/>
          <w:szCs w:val="28"/>
        </w:rPr>
        <w:t>экономического союза из третьих стран, систематизированный в соответствии с единой Товарной номенклатурой внешнеэкономической деятельности Евразийского экономического союза.</w:t>
      </w:r>
      <w:r w:rsidR="00BF0410" w:rsidRPr="00136F32">
        <w:rPr>
          <w:rStyle w:val="af2"/>
          <w:sz w:val="28"/>
          <w:szCs w:val="28"/>
        </w:rPr>
        <w:footnoteReference w:id="3"/>
      </w:r>
    </w:p>
    <w:p w:rsidR="00E60DFC" w:rsidRPr="007F585D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 Едином таможенном тарифе Евразийского экономического союза применяются следующие виды ставок ввозных таможенных пошлин:</w:t>
      </w:r>
      <w:r w:rsidR="007F585D" w:rsidRPr="007F585D">
        <w:rPr>
          <w:sz w:val="28"/>
          <w:szCs w:val="28"/>
        </w:rPr>
        <w:t xml:space="preserve"> 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специфические пошлины начисляются в твердо установленных денежных единицах (например,0,2 евро за 1 кг),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адвалорные пошлины начисляются в процентах таможенной стоимости (например, 20% от таможенной стоимости),</w:t>
      </w:r>
      <w:r w:rsidR="007F585D" w:rsidRPr="00136F32">
        <w:rPr>
          <w:sz w:val="28"/>
          <w:szCs w:val="28"/>
        </w:rPr>
        <w:t xml:space="preserve"> 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комбинированные сочетают адвалорную и специфическую по принципу поглощения (например, 10%, но не менее 0,2 евро за 1 кг).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Хотелось бы подчеркнуть, что в условиях колебания цен эти пошлины ведут себя совершенно по-разному, к примеру, при увеличении цены на товар, уплачивается адвалорная пошлина, которая пропорциональна росту стоимости товара, в то время как специфическая остается на прежнем уровне</w:t>
      </w:r>
      <w:r w:rsidR="007F585D" w:rsidRPr="007F585D">
        <w:rPr>
          <w:sz w:val="28"/>
          <w:szCs w:val="28"/>
        </w:rPr>
        <w:t>.</w:t>
      </w:r>
      <w:r w:rsidR="007F585D" w:rsidRPr="00136F32">
        <w:rPr>
          <w:sz w:val="28"/>
          <w:szCs w:val="28"/>
        </w:rPr>
        <w:t xml:space="preserve"> </w:t>
      </w:r>
    </w:p>
    <w:p w:rsidR="00BA2391" w:rsidRDefault="00A618A0" w:rsidP="00BA2391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Поэтому при падении цен специ</w:t>
      </w:r>
      <w:r w:rsidR="00E60DFC" w:rsidRPr="00136F32">
        <w:rPr>
          <w:sz w:val="28"/>
          <w:szCs w:val="28"/>
        </w:rPr>
        <w:t xml:space="preserve">фическая пошлина эффективнее, а </w:t>
      </w:r>
      <w:r w:rsidRPr="00136F32">
        <w:rPr>
          <w:sz w:val="28"/>
          <w:szCs w:val="28"/>
        </w:rPr>
        <w:t>при повышении адвалорная.</w:t>
      </w:r>
      <w:r w:rsidR="007F585D" w:rsidRPr="007F585D">
        <w:rPr>
          <w:sz w:val="28"/>
          <w:szCs w:val="28"/>
        </w:rPr>
        <w:t xml:space="preserve"> </w:t>
      </w:r>
    </w:p>
    <w:p w:rsidR="007F585D" w:rsidRPr="00FD5B10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Большое распространение имеют комбинированные таможенные пошлины, которые представляют собой комбинацию специфических и адвалорных ставок. Они позволяют немного уравнять недостатки двух этих пошлин с точки зрения их реакции на изменение цены. </w:t>
      </w:r>
      <w:r w:rsidR="00E17A0D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Хотелось бы отметить, что в ЕАЭС существуют такие таможенные льготы, с помощью </w:t>
      </w:r>
      <w:r w:rsidRPr="00136F32">
        <w:rPr>
          <w:sz w:val="28"/>
          <w:szCs w:val="28"/>
        </w:rPr>
        <w:lastRenderedPageBreak/>
        <w:t>которых разрешено ввозить товары с учетом сниженной ставки или при полном освобождении от ввозной пошлины. В их перечень входят:</w:t>
      </w:r>
      <w:r w:rsidR="007F585D" w:rsidRPr="00136F32">
        <w:rPr>
          <w:sz w:val="28"/>
          <w:szCs w:val="28"/>
        </w:rPr>
        <w:t xml:space="preserve"> 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ценные бумаги стран Союза,</w:t>
      </w:r>
      <w:r w:rsidR="007F585D" w:rsidRPr="00136F32">
        <w:rPr>
          <w:sz w:val="28"/>
          <w:szCs w:val="28"/>
        </w:rPr>
        <w:t xml:space="preserve"> 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гуманитарная помощь,</w:t>
      </w:r>
      <w:r w:rsidR="007F585D" w:rsidRPr="00136F32">
        <w:rPr>
          <w:sz w:val="28"/>
          <w:szCs w:val="28"/>
        </w:rPr>
        <w:t xml:space="preserve"> 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продукция морского промысла государств ЕАЭС,</w:t>
      </w:r>
      <w:r w:rsidR="007F585D" w:rsidRPr="00136F32">
        <w:rPr>
          <w:sz w:val="28"/>
          <w:szCs w:val="28"/>
        </w:rPr>
        <w:t xml:space="preserve"> 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валюта государств-участниц ЕАЭС,</w:t>
      </w:r>
      <w:r w:rsidR="007F585D" w:rsidRPr="00136F32">
        <w:rPr>
          <w:sz w:val="28"/>
          <w:szCs w:val="28"/>
        </w:rPr>
        <w:t xml:space="preserve"> </w:t>
      </w:r>
    </w:p>
    <w:p w:rsidR="00E17A0D" w:rsidRDefault="00A618A0" w:rsidP="00E17A0D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sz w:val="28"/>
          <w:szCs w:val="28"/>
        </w:rPr>
      </w:pPr>
      <w:r w:rsidRPr="00136F32">
        <w:rPr>
          <w:sz w:val="28"/>
          <w:szCs w:val="28"/>
        </w:rPr>
        <w:t>благотворительная помощь, оказываемая международными фондами.</w:t>
      </w:r>
    </w:p>
    <w:p w:rsidR="00E60DFC" w:rsidRPr="00717E3D" w:rsidRDefault="00E17A0D" w:rsidP="00E17A0D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b/>
          <w:sz w:val="28"/>
          <w:szCs w:val="28"/>
        </w:rPr>
      </w:pPr>
      <w:r w:rsidRPr="00717E3D">
        <w:rPr>
          <w:b/>
          <w:sz w:val="28"/>
          <w:szCs w:val="28"/>
        </w:rPr>
        <w:t xml:space="preserve"> </w:t>
      </w:r>
      <w:r w:rsidR="00A618A0" w:rsidRPr="00717E3D">
        <w:rPr>
          <w:b/>
          <w:sz w:val="28"/>
          <w:szCs w:val="28"/>
        </w:rPr>
        <w:t>1.2 Государственное регулирование внешнеторговой деятельности в рамках ЕАЭС.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Государственное регулирование внешнеторговой деятельности осуществляется в целях обеспечения благоприятных условий для этого вида деятельности, а также для защиты экономических и политических интересов стран-союзников ЕАЭС.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У каждой страны, входящей в состав ЕАЭС есть свой нормати</w:t>
      </w:r>
      <w:r w:rsidR="009C5EE2">
        <w:rPr>
          <w:sz w:val="28"/>
          <w:szCs w:val="28"/>
        </w:rPr>
        <w:t>вный документ, который регулирует внешнеторговую деятельность</w:t>
      </w:r>
      <w:r w:rsidRPr="00136F32">
        <w:rPr>
          <w:sz w:val="28"/>
          <w:szCs w:val="28"/>
        </w:rPr>
        <w:t>.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Так, основным нормативным документом, определяющим основы государственного регулирования внешнеторговой деятельности в Рос</w:t>
      </w:r>
      <w:r w:rsidR="00E60DFC" w:rsidRPr="00136F32">
        <w:rPr>
          <w:sz w:val="28"/>
          <w:szCs w:val="28"/>
        </w:rPr>
        <w:t>с</w:t>
      </w:r>
      <w:r w:rsidRPr="00136F32">
        <w:rPr>
          <w:sz w:val="28"/>
          <w:szCs w:val="28"/>
        </w:rPr>
        <w:t>ии - является Федеральный закон от 8 декабря 2003 г. N 164-ФЗ (ред. От 13 декабря 2015) "Об основах государственного регулирова</w:t>
      </w:r>
      <w:r w:rsidR="00861057">
        <w:rPr>
          <w:sz w:val="28"/>
          <w:szCs w:val="28"/>
        </w:rPr>
        <w:t>ния внешнеторговой деятельности</w:t>
      </w:r>
      <w:r w:rsidRPr="00136F32">
        <w:rPr>
          <w:sz w:val="28"/>
          <w:szCs w:val="28"/>
        </w:rPr>
        <w:t>".</w:t>
      </w:r>
      <w:r w:rsidR="00E60DFC" w:rsidRPr="00136F32">
        <w:rPr>
          <w:rStyle w:val="af2"/>
          <w:sz w:val="28"/>
          <w:szCs w:val="28"/>
        </w:rPr>
        <w:footnoteReference w:id="4"/>
      </w:r>
      <w:r w:rsidR="00861057">
        <w:rPr>
          <w:sz w:val="28"/>
          <w:szCs w:val="28"/>
        </w:rPr>
        <w:t xml:space="preserve"> В основу </w:t>
      </w:r>
      <w:r w:rsidRPr="00136F32">
        <w:rPr>
          <w:sz w:val="28"/>
          <w:szCs w:val="28"/>
        </w:rPr>
        <w:t>этого закона вошли следующие принципы:</w:t>
      </w:r>
      <w:r w:rsidR="002235C7" w:rsidRP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обеспечение проведения в Российской Федерации единой торговой политики и осуществление мер по ее реализации,</w:t>
      </w:r>
      <w:r w:rsidR="002235C7" w:rsidRP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принятие соответствующих реше</w:t>
      </w:r>
      <w:r w:rsidR="002235C7">
        <w:rPr>
          <w:sz w:val="28"/>
          <w:szCs w:val="28"/>
        </w:rPr>
        <w:t xml:space="preserve">ний и обеспечение их выполнения, </w:t>
      </w:r>
      <w:r w:rsidRPr="00136F32">
        <w:rPr>
          <w:sz w:val="28"/>
          <w:szCs w:val="28"/>
        </w:rPr>
        <w:t>применение защитных, антидемпинговых и компенсационных мер при осуществлении внешней торговли товарами, а также иных мер по защите экономических интересов Российской Федерации,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установление ставки</w:t>
      </w:r>
      <w:r w:rsidR="00E60DFC" w:rsidRPr="00136F32">
        <w:rPr>
          <w:sz w:val="28"/>
          <w:szCs w:val="28"/>
        </w:rPr>
        <w:t xml:space="preserve"> таможенного тарифа в пределах, </w:t>
      </w:r>
      <w:r w:rsidRPr="00136F32">
        <w:rPr>
          <w:sz w:val="28"/>
          <w:szCs w:val="28"/>
        </w:rPr>
        <w:t xml:space="preserve">определяемых </w:t>
      </w:r>
      <w:r w:rsidRPr="00136F32">
        <w:rPr>
          <w:sz w:val="28"/>
          <w:szCs w:val="28"/>
        </w:rPr>
        <w:lastRenderedPageBreak/>
        <w:t>федеральным законом,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введение количественных ограничений экспорта и импорта товаров и определение порядка их применения.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Государственное регулирование внешнеторговой деятельности в Республике Беларусь осуществляется с учетом следующих основных принципов, которые закреплены в Законе Республики Беларусь от 25.11.2004 №347-З "О государственном регулировании внешнеторговой деятельности"</w:t>
      </w:r>
      <w:r w:rsidR="00E60DFC" w:rsidRPr="00136F32">
        <w:rPr>
          <w:rStyle w:val="af2"/>
          <w:sz w:val="28"/>
          <w:szCs w:val="28"/>
        </w:rPr>
        <w:footnoteReference w:id="5"/>
      </w:r>
      <w:r w:rsidR="00E60DFC" w:rsidRPr="00136F32">
        <w:rPr>
          <w:sz w:val="28"/>
          <w:szCs w:val="28"/>
        </w:rPr>
        <w:t>: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реализация внешнеторговой политики как составной части единой внешней политики Республики Беларусь,</w:t>
      </w:r>
      <w:r w:rsidR="002235C7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обеспечение национальной безопасности Республики Беларусь, в том числе в экономической сфере,</w:t>
      </w:r>
      <w:r w:rsidR="002235C7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единство таможенной территории Республики Беларусь,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приоритет экономических мер государственного регулирования внешнеторговой деятельности</w:t>
      </w:r>
      <w:r w:rsidR="00413F1E">
        <w:rPr>
          <w:sz w:val="28"/>
          <w:szCs w:val="28"/>
        </w:rPr>
        <w:t xml:space="preserve">. </w:t>
      </w:r>
    </w:p>
    <w:p w:rsidR="00A618A0" w:rsidRPr="00136F32" w:rsidRDefault="00A618A0" w:rsidP="00861057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Государственное регулирование внешнеторговой деятельности в республике Казахстан осуществляется в соответствии с Законом Республики Казахстан "О регулировании торговой деятельности" от 12.04.04 №544,</w:t>
      </w:r>
      <w:r w:rsidR="00E60DFC" w:rsidRPr="00136F32">
        <w:rPr>
          <w:rStyle w:val="af2"/>
          <w:sz w:val="28"/>
          <w:szCs w:val="28"/>
        </w:rPr>
        <w:footnoteReference w:id="6"/>
      </w:r>
      <w:r w:rsidR="00E35EA4">
        <w:rPr>
          <w:sz w:val="28"/>
          <w:szCs w:val="28"/>
        </w:rPr>
        <w:t xml:space="preserve"> </w:t>
      </w:r>
      <w:r w:rsidR="005F2F07">
        <w:rPr>
          <w:sz w:val="28"/>
          <w:szCs w:val="28"/>
        </w:rPr>
        <w:t>в котором закреплены</w:t>
      </w:r>
      <w:r w:rsidR="00E60DFC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следующие цели и методы:</w:t>
      </w:r>
      <w:r w:rsidR="0086105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содействие развитию и совершенствованию торговой деятельности в Республике Казахстан,</w:t>
      </w:r>
      <w:r w:rsidR="002235C7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определение порядка осуществления торговой деятельности, определение условий перемещения товаров через таможенную границу Республики Казахстан,</w:t>
      </w:r>
      <w:r w:rsidR="0086105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таможенно-тарифное регулирование внешнеторговой деятельности,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нетарифное регулирование внешнеторговой деятельности,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защита отечественных товаропроизводителей.</w:t>
      </w:r>
    </w:p>
    <w:p w:rsidR="00E60DFC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Государственное регулирование в Республике Киргизия</w:t>
      </w:r>
      <w:r w:rsidRPr="00136F32">
        <w:rPr>
          <w:sz w:val="28"/>
          <w:szCs w:val="28"/>
        </w:rPr>
        <w:br/>
        <w:t xml:space="preserve">осуществляется с учетом следующих принципов, закрепленных в Законе республики Киргизия “О государственном регулировании внешнеторговой </w:t>
      </w:r>
      <w:r w:rsidRPr="00136F32">
        <w:rPr>
          <w:sz w:val="28"/>
          <w:szCs w:val="28"/>
        </w:rPr>
        <w:lastRenderedPageBreak/>
        <w:t>деятельности в Кыргызской Республике” от 2 июля 1997 года № 41</w:t>
      </w:r>
      <w:r w:rsidR="00E60DFC" w:rsidRPr="00136F32">
        <w:rPr>
          <w:rStyle w:val="af2"/>
          <w:sz w:val="28"/>
          <w:szCs w:val="28"/>
        </w:rPr>
        <w:footnoteReference w:id="7"/>
      </w:r>
      <w:r w:rsidRPr="00136F32">
        <w:rPr>
          <w:sz w:val="28"/>
          <w:szCs w:val="28"/>
        </w:rPr>
        <w:t>: </w:t>
      </w:r>
      <w:r w:rsidRPr="00136F32">
        <w:rPr>
          <w:sz w:val="28"/>
          <w:szCs w:val="28"/>
        </w:rPr>
        <w:br/>
        <w:t>защита экономического суверенитета,</w:t>
      </w:r>
      <w:r w:rsidR="002235C7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обеспечение экономической безопасности Республики Киргизия,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стимулирование развития внешнеторговой деятельности и обеспечение условий эффективной интеграции экономики Республики Киргизия.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Государственному регулированию в Республике Армения способствует Закон Республики Армения “О таможенном регулировании” от 30 декабря 2014 года №ЗР-241, в котором закреплены следующие цели</w:t>
      </w:r>
      <w:r w:rsidR="00E60DFC" w:rsidRPr="00136F32">
        <w:rPr>
          <w:rStyle w:val="af2"/>
          <w:sz w:val="28"/>
          <w:szCs w:val="28"/>
        </w:rPr>
        <w:footnoteReference w:id="8"/>
      </w:r>
      <w:r w:rsidRPr="00136F32">
        <w:rPr>
          <w:sz w:val="28"/>
          <w:szCs w:val="28"/>
        </w:rPr>
        <w:t>: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обеспечение выполнения Республикой Армения международных договоров и решений, составляющих договорно-правовую базу ЕАЭС в сфере таможенного регулирования,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обеспечение экономической безопасности Республики Армения,</w:t>
      </w:r>
      <w:r w:rsidR="00E22A6C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регул</w:t>
      </w:r>
      <w:r w:rsidR="00A117DC">
        <w:rPr>
          <w:sz w:val="28"/>
          <w:szCs w:val="28"/>
        </w:rPr>
        <w:t xml:space="preserve">ирование отношений, связанных с </w:t>
      </w:r>
      <w:r w:rsidRPr="00136F32">
        <w:rPr>
          <w:sz w:val="28"/>
          <w:szCs w:val="28"/>
        </w:rPr>
        <w:t>таможенными процедурами, таможенным контролем, уплатой таможенных платежей при перемещении товаров через государственную границу Республики Армения,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обеспечение защиты прав и законных интересов лиц, осуществляющих внешнеэкономическую деятельность через государственную границу Республики Армения.</w:t>
      </w:r>
    </w:p>
    <w:p w:rsidR="00A618A0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Рассмотрев нормативные документы всех стран-участниц ЕАЭС, хотелось бы отметить, что согласно ТК ТС общей целью всех государств-членов для осуществления внешнеторговой деятельности является наличие единой таможенной территории, которая способствует свободному перемещению товаров</w:t>
      </w:r>
      <w:r w:rsidR="00AF33A0">
        <w:rPr>
          <w:sz w:val="28"/>
          <w:szCs w:val="28"/>
        </w:rPr>
        <w:t>, услуг, капитала и рабочей силы</w:t>
      </w:r>
      <w:r w:rsidRPr="00136F32">
        <w:rPr>
          <w:sz w:val="28"/>
          <w:szCs w:val="28"/>
        </w:rPr>
        <w:t xml:space="preserve"> по таможенной территории Евразийского Экономического Союза.</w:t>
      </w:r>
    </w:p>
    <w:p w:rsidR="00413F1E" w:rsidRDefault="00413F1E" w:rsidP="00413F1E">
      <w:pPr>
        <w:tabs>
          <w:tab w:val="left" w:pos="15105"/>
          <w:tab w:val="right" w:pos="16838"/>
        </w:tabs>
        <w:spacing w:line="360" w:lineRule="auto"/>
        <w:contextualSpacing/>
        <w:rPr>
          <w:sz w:val="28"/>
          <w:szCs w:val="28"/>
        </w:rPr>
      </w:pPr>
    </w:p>
    <w:p w:rsidR="00A618A0" w:rsidRPr="00413F1E" w:rsidRDefault="00413F1E" w:rsidP="00413F1E">
      <w:pPr>
        <w:tabs>
          <w:tab w:val="left" w:pos="15105"/>
          <w:tab w:val="right" w:pos="16838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235C7" w:rsidRPr="00B41C65">
        <w:rPr>
          <w:b/>
          <w:sz w:val="28"/>
          <w:szCs w:val="28"/>
        </w:rPr>
        <w:t xml:space="preserve">Глава </w:t>
      </w:r>
      <w:r w:rsidR="002235C7" w:rsidRPr="00B41C65">
        <w:rPr>
          <w:b/>
          <w:sz w:val="28"/>
          <w:szCs w:val="28"/>
          <w:lang w:val="en-US"/>
        </w:rPr>
        <w:t>II</w:t>
      </w:r>
      <w:r w:rsidR="00A618A0" w:rsidRPr="00B41C65">
        <w:rPr>
          <w:b/>
          <w:sz w:val="28"/>
          <w:szCs w:val="28"/>
        </w:rPr>
        <w:t xml:space="preserve"> Особенности и проблемы осуществления внешнеторговой </w:t>
      </w:r>
      <w:r w:rsidR="003272B0" w:rsidRPr="00B41C65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A618A0" w:rsidRPr="00B41C65">
        <w:rPr>
          <w:b/>
          <w:sz w:val="28"/>
          <w:szCs w:val="28"/>
        </w:rPr>
        <w:t>деятельности в рамках ЕАЭС.</w:t>
      </w:r>
    </w:p>
    <w:p w:rsidR="00A618A0" w:rsidRPr="00B41C65" w:rsidRDefault="00A618A0" w:rsidP="00B41C65">
      <w:pPr>
        <w:tabs>
          <w:tab w:val="left" w:pos="15105"/>
          <w:tab w:val="right" w:pos="16838"/>
        </w:tabs>
        <w:spacing w:line="360" w:lineRule="auto"/>
        <w:contextualSpacing/>
        <w:jc w:val="both"/>
        <w:rPr>
          <w:b/>
          <w:sz w:val="28"/>
          <w:szCs w:val="28"/>
        </w:rPr>
      </w:pPr>
      <w:r w:rsidRPr="00B41C65">
        <w:rPr>
          <w:b/>
          <w:sz w:val="28"/>
          <w:szCs w:val="28"/>
        </w:rPr>
        <w:t>2.1 Особенности осуществления взаимной внешнеторговой деятельности стран-участниц ЕАЭС.</w:t>
      </w:r>
    </w:p>
    <w:p w:rsidR="00A618A0" w:rsidRPr="00136F32" w:rsidRDefault="00A618A0" w:rsidP="00B41C65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Начиная с 2013 года, взаимна</w:t>
      </w:r>
      <w:r w:rsidR="00496701" w:rsidRPr="00136F32">
        <w:rPr>
          <w:sz w:val="28"/>
          <w:szCs w:val="28"/>
        </w:rPr>
        <w:t>я торговля между государствами-с</w:t>
      </w:r>
      <w:r w:rsidRPr="00136F32">
        <w:rPr>
          <w:sz w:val="28"/>
          <w:szCs w:val="28"/>
        </w:rPr>
        <w:t>оюзниками ЕАЭС показывает отрицательную динамику.</w:t>
      </w:r>
    </w:p>
    <w:p w:rsidR="00496701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 xml:space="preserve">Наиболее сложная ситуация отмечена по итогам 2015 года. Объем взаимной торговли в стоимостном выражении по сравнению с 2014 годом сократился на 25,5%. 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В 2016 году снижение объемов взаимных поставок существенно замедлилось и по итогам 2016 года сокращение составило 6,7%.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Стоимостные объемы и показатели динамики взаимной торговли между странами - участницами ЕАЭС по месяцам 2015 - 2016 годов представлены на графике, который показывает увеличение взаимной торговли на протяжении 2016 года и начиная с сентября прев</w:t>
      </w:r>
      <w:r w:rsidR="00496701" w:rsidRPr="00136F32">
        <w:rPr>
          <w:sz w:val="28"/>
          <w:szCs w:val="28"/>
        </w:rPr>
        <w:t xml:space="preserve">ышение значения соответствующих </w:t>
      </w:r>
      <w:r w:rsidRPr="00136F32">
        <w:rPr>
          <w:sz w:val="28"/>
          <w:szCs w:val="28"/>
        </w:rPr>
        <w:t>месяцев 2015 года. (Приложение № 1).</w:t>
      </w:r>
    </w:p>
    <w:p w:rsidR="00496701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Стоит отметить, что падение мировых цен на нефть и другие сырьевые товары в значительной степени сыграло роль в определении динамики цен на товары, обращающиеся на рынке ЕАЭС, и, общее сокращение объема взаимной торговли стран - союзников в 2015 - 2016 годах.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Как видно из графика, динамика взаимной торговли варьируется в связи с изменением мировых цен на нефть, а весомый удельный вес энергетических товаров в структуре взаимной торговли (29,9% – в 2015 году, 22,8% – в 2016 году) создает эту зависимость определяющей. 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Учитывая, изменения на мировом рынке, средняя цена на нефть, поставляемая на рынок ЕАЭС, в 2016 году снизилась до 29 долларов США за баррель, а в 2015 - году 34 доллара, в 2014 году – 46 долларов.</w:t>
      </w:r>
    </w:p>
    <w:p w:rsidR="00496701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Несмотря на то</w:t>
      </w:r>
      <w:r w:rsidR="00023192">
        <w:rPr>
          <w:sz w:val="28"/>
          <w:szCs w:val="28"/>
        </w:rPr>
        <w:t>,</w:t>
      </w:r>
      <w:r w:rsidRPr="00136F32">
        <w:rPr>
          <w:sz w:val="28"/>
          <w:szCs w:val="28"/>
        </w:rPr>
        <w:t xml:space="preserve"> что результаты взаимной торговли между странами - участницами ЕАЭС имеют отрицательную динамику они оказались лучше </w:t>
      </w:r>
      <w:r w:rsidRPr="00136F32">
        <w:rPr>
          <w:sz w:val="28"/>
          <w:szCs w:val="28"/>
        </w:rPr>
        <w:lastRenderedPageBreak/>
        <w:t>итогов внешней торговли с третьими странами. 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Объем внешней торговли со странами вне ЕАЭС снизился в 2015 году на 33,6%, в том числе экспорт – на 32,7%, в 2016 году – на 12% и 17,5% соответственно.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Стоит отметить, что ценовой фактор оказывал сильное влияние на снижение внешнеторгового оборота ЕАЭС в связи с преобладающей долей энергетических товаров в структуре экспорта за пределы ЕАЭС (64,6% - в 2015 году,58,9% – в 2016 году). (Приложение № 2).</w:t>
      </w:r>
    </w:p>
    <w:p w:rsidR="00496701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 2016 году наметилась тенденция улучшения ценовых условий осуществления внешнеторговой деятельности как с третьими странами, так и между странами - союзниками ЕАЭС, а также итоговых стоимостных характеристик.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Кроме</w:t>
      </w:r>
      <w:r w:rsidR="00496701" w:rsidRPr="00136F32">
        <w:rPr>
          <w:sz w:val="28"/>
          <w:szCs w:val="28"/>
        </w:rPr>
        <w:t xml:space="preserve"> низких цен на энергетические и </w:t>
      </w:r>
      <w:r w:rsidRPr="00136F32">
        <w:rPr>
          <w:sz w:val="28"/>
          <w:szCs w:val="28"/>
        </w:rPr>
        <w:t>сырьевые товары на снижение товарооборота стран ЕАЭС в последние годы влияет слабый рост мировой экономики и торговли.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По оценке Департамента по социальным и экономическим вопросам Организации Объединенных Наций </w:t>
      </w:r>
      <w:r w:rsidR="00496701" w:rsidRPr="00136F32">
        <w:rPr>
          <w:rStyle w:val="af2"/>
          <w:sz w:val="28"/>
          <w:szCs w:val="28"/>
        </w:rPr>
        <w:footnoteReference w:id="9"/>
      </w:r>
      <w:r w:rsidR="00496701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в 2016 году объем мировой экономики вырос всего лишь на 2,2%, это является самым низким показателем со времен рецессии 2009 года. </w:t>
      </w:r>
    </w:p>
    <w:p w:rsidR="00496701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Объем мировой торговли увеличился по сравнению с 2015 годом всего на 1,2%.</w:t>
      </w:r>
    </w:p>
    <w:p w:rsidR="000D480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 xml:space="preserve">Можно отметить, что важную роль во взаимной торговле Республики Армения со странами - союзниками ЕАЭС играют торговые отношения с Российской Федерацией (95,6% общего показателя), объем взаимной торговли с которой снизился в 2015 году на 13,6%, в том числе экспорт – на 20,4%, импорт – на 11,7%. 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Но в то же время зарегистрирован значительный рост поставок товаров в Армению из Казахстана и Киргизии. (Приложение №3).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Результатом интеграционного эффекта от вступления Республики Армения в состав </w:t>
      </w:r>
      <w:r w:rsidRPr="00136F32">
        <w:rPr>
          <w:sz w:val="28"/>
          <w:szCs w:val="28"/>
        </w:rPr>
        <w:lastRenderedPageBreak/>
        <w:t>ЕАЭС совместно с реализацией мер стимулирования внутреннего спроса явились высокие показатели экономического развития и то</w:t>
      </w:r>
      <w:r w:rsidR="00496701" w:rsidRPr="00136F32">
        <w:rPr>
          <w:sz w:val="28"/>
          <w:szCs w:val="28"/>
        </w:rPr>
        <w:t>рговли в отли</w:t>
      </w:r>
      <w:r w:rsidR="00DD422D">
        <w:rPr>
          <w:sz w:val="28"/>
          <w:szCs w:val="28"/>
        </w:rPr>
        <w:t>ч</w:t>
      </w:r>
      <w:r w:rsidR="00496701" w:rsidRPr="00136F32">
        <w:rPr>
          <w:sz w:val="28"/>
          <w:szCs w:val="28"/>
        </w:rPr>
        <w:t xml:space="preserve">ии от партнеров по </w:t>
      </w:r>
      <w:r w:rsidRPr="00136F32">
        <w:rPr>
          <w:sz w:val="28"/>
          <w:szCs w:val="28"/>
        </w:rPr>
        <w:t>Союзу.</w:t>
      </w:r>
    </w:p>
    <w:p w:rsidR="00861C74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В Республике Беларусь главную роль во в</w:t>
      </w:r>
      <w:r w:rsidR="00C0205A">
        <w:rPr>
          <w:sz w:val="28"/>
          <w:szCs w:val="28"/>
        </w:rPr>
        <w:t>заимной торговле </w:t>
      </w:r>
      <w:r w:rsidR="00C0205A">
        <w:rPr>
          <w:sz w:val="28"/>
          <w:szCs w:val="28"/>
        </w:rPr>
        <w:br/>
        <w:t xml:space="preserve">со странами - </w:t>
      </w:r>
      <w:r w:rsidRPr="00136F32">
        <w:rPr>
          <w:sz w:val="28"/>
          <w:szCs w:val="28"/>
        </w:rPr>
        <w:t>участницами ЕАЭС также играют торговые отношения с Российской Федерацией (94,5% экспорта Беларуси на общий рынок и 99,6% импорта во взаимной торговле). По данным Республики Беларусь объем взаимной торговли с Россией упал на 26,3%, в том числе экспорт – на 31,5%, импорт – на 22,7%. (Приложение №4).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Хотелось бы отметить, что в силу высокой открытости экономика Республики Беларус</w:t>
      </w:r>
      <w:r w:rsidR="00861C74" w:rsidRPr="00136F32">
        <w:rPr>
          <w:sz w:val="28"/>
          <w:szCs w:val="28"/>
        </w:rPr>
        <w:t xml:space="preserve">ь испытывает негативное влияние </w:t>
      </w:r>
      <w:r w:rsidRPr="00136F32">
        <w:rPr>
          <w:sz w:val="28"/>
          <w:szCs w:val="28"/>
        </w:rPr>
        <w:t>неблагоприятных тенденций развития экономи</w:t>
      </w:r>
      <w:r w:rsidR="00861C74" w:rsidRPr="00136F32">
        <w:rPr>
          <w:sz w:val="28"/>
          <w:szCs w:val="28"/>
        </w:rPr>
        <w:t xml:space="preserve">к стран – союзников </w:t>
      </w:r>
      <w:r w:rsidRPr="00136F32">
        <w:rPr>
          <w:sz w:val="28"/>
          <w:szCs w:val="28"/>
        </w:rPr>
        <w:t>ЕАЭС, в том числе взаимной торговли.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Основную роль во взаимной торговле Республики Казахстан с партнерами по Союзу осуществляет Российская Федерация (88,8% экспорта Казахстана на общий рынок и 93,9% импорта во взаимной торговле). По данным Республики Казахстан объем взаимной торговли с Россией снизился на 26,4%, в том числе экспорт</w:t>
      </w:r>
      <w:r w:rsidR="00861C74" w:rsidRPr="00136F32">
        <w:rPr>
          <w:sz w:val="28"/>
          <w:szCs w:val="28"/>
        </w:rPr>
        <w:t xml:space="preserve"> – на 28,8%, импорт – на 23,7%.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Показатели динамики экспорта в остальные страны-партнеры лучше, чем в торговле с Россией, а продажи товаров в Республику Армения увеличились в 1,8 раза. (Приложение №5).</w:t>
      </w:r>
    </w:p>
    <w:p w:rsidR="00861C74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Стоит уделить внимание на то, что стимулирование внутреннего спроса играет важную роль в устранении последствий внешних шоков для Республики Казахстан.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Так</w:t>
      </w:r>
      <w:r w:rsidR="00E35EA4">
        <w:rPr>
          <w:sz w:val="28"/>
          <w:szCs w:val="28"/>
        </w:rPr>
        <w:t xml:space="preserve"> </w:t>
      </w:r>
      <w:r w:rsidR="00DD422D">
        <w:rPr>
          <w:sz w:val="28"/>
          <w:szCs w:val="28"/>
        </w:rPr>
        <w:t>же</w:t>
      </w:r>
      <w:r w:rsidR="00861057">
        <w:rPr>
          <w:sz w:val="28"/>
          <w:szCs w:val="28"/>
        </w:rPr>
        <w:t xml:space="preserve"> как и у предыдущих </w:t>
      </w:r>
      <w:proofErr w:type="gramStart"/>
      <w:r w:rsidR="00861057">
        <w:rPr>
          <w:sz w:val="28"/>
          <w:szCs w:val="28"/>
        </w:rPr>
        <w:t>союзников</w:t>
      </w:r>
      <w:proofErr w:type="gramEnd"/>
      <w:r w:rsidRPr="00136F32">
        <w:rPr>
          <w:sz w:val="28"/>
          <w:szCs w:val="28"/>
        </w:rPr>
        <w:t xml:space="preserve"> основную роль во взаимной торговле Кыргызской Республики играют торговые отношения с Российской Федерацией (53,7%) а также еще и с Республикой Казахстан (44,2% общего показателя). Поставки Кыргызстана в Российскую Федерацию сократились на 12,9%, в Казахстан – увеличились на 17,4%. (Приложение №6).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Можно </w:t>
      </w:r>
      <w:r w:rsidRPr="00136F32">
        <w:rPr>
          <w:sz w:val="28"/>
          <w:szCs w:val="28"/>
        </w:rPr>
        <w:lastRenderedPageBreak/>
        <w:t>отметить, что по итогам 2016 года вхождение Кыргызской Республики в состав ЕАЭС дало положительные результаты, связанные с первичным интеграционным эффектом.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Основными партнерами во взаимной торговле Российской Федерации являются Республика Беларусь (54,1% экспорта России на рынок Союза и 63,5% импорта во взаимной торговле) и Республика Казахстан (37,7% экспорта и 34,5% импорта). Объем взаимной торговли с Республикой Беларусь снизился на 23,7%, с Республикой Казахстан – на 26,7%.</w:t>
      </w:r>
    </w:p>
    <w:p w:rsidR="00C6036B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Таким образом, можно сказать, что довольно-таки непростая экономическая ситуация в Российской Федерации явилась одним из основных факторов, который определил тенденции развития взаимной торговли товарами ЕАЭС в 2015-2016 годах.</w:t>
      </w:r>
      <w:r w:rsidR="002235C7">
        <w:rPr>
          <w:sz w:val="28"/>
          <w:szCs w:val="28"/>
        </w:rPr>
        <w:t xml:space="preserve"> </w:t>
      </w:r>
    </w:p>
    <w:p w:rsidR="00861C74" w:rsidRDefault="00C6036B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отметить, что п</w:t>
      </w:r>
      <w:r w:rsidR="00A618A0" w:rsidRPr="00136F32">
        <w:rPr>
          <w:sz w:val="28"/>
          <w:szCs w:val="28"/>
        </w:rPr>
        <w:t>рогнозируемый на 2017 год рост экономики России (Международным валютным фондом и Министерством экономического развития Российской Федерации</w:t>
      </w:r>
      <w:r w:rsidR="00363656">
        <w:rPr>
          <w:rStyle w:val="af2"/>
          <w:sz w:val="28"/>
          <w:szCs w:val="28"/>
        </w:rPr>
        <w:footnoteReference w:id="10"/>
      </w:r>
      <w:r w:rsidR="00A618A0" w:rsidRPr="00136F32">
        <w:rPr>
          <w:sz w:val="28"/>
          <w:szCs w:val="28"/>
        </w:rPr>
        <w:t xml:space="preserve"> – на 1,1%) будет способствовать увеличению внутреннего спроса и стабилизации </w:t>
      </w:r>
      <w:r>
        <w:rPr>
          <w:sz w:val="28"/>
          <w:szCs w:val="28"/>
        </w:rPr>
        <w:t xml:space="preserve">торгового партнерства </w:t>
      </w:r>
      <w:r w:rsidR="00A618A0" w:rsidRPr="00136F32">
        <w:rPr>
          <w:sz w:val="28"/>
          <w:szCs w:val="28"/>
        </w:rPr>
        <w:t>товарооборота ЕАЭС.</w:t>
      </w:r>
    </w:p>
    <w:p w:rsidR="00861C74" w:rsidRPr="005E4D33" w:rsidRDefault="00A618A0" w:rsidP="005E4D33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E4D33">
        <w:rPr>
          <w:b/>
          <w:sz w:val="28"/>
          <w:szCs w:val="28"/>
        </w:rPr>
        <w:t>2.2 Проблемы и пути совершенствования осуществления внешнеторговой деятельности в рамках ЕАЭС.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 xml:space="preserve">Участие всех </w:t>
      </w:r>
      <w:r w:rsidR="004458E1">
        <w:rPr>
          <w:sz w:val="28"/>
          <w:szCs w:val="28"/>
        </w:rPr>
        <w:t xml:space="preserve">стран </w:t>
      </w:r>
      <w:r w:rsidR="006C022B">
        <w:rPr>
          <w:sz w:val="28"/>
          <w:szCs w:val="28"/>
        </w:rPr>
        <w:t>- союзников в Евразийском экономическом</w:t>
      </w:r>
      <w:r w:rsidRPr="00136F32">
        <w:rPr>
          <w:sz w:val="28"/>
          <w:szCs w:val="28"/>
        </w:rPr>
        <w:t xml:space="preserve"> союз</w:t>
      </w:r>
      <w:r w:rsidR="006C022B">
        <w:rPr>
          <w:sz w:val="28"/>
          <w:szCs w:val="28"/>
        </w:rPr>
        <w:t>е</w:t>
      </w:r>
      <w:r w:rsidRPr="00136F32">
        <w:rPr>
          <w:sz w:val="28"/>
          <w:szCs w:val="28"/>
        </w:rPr>
        <w:t xml:space="preserve"> является одним из направлений достижения устойчивого экономического развития этих стран.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Так как принятые основополагающие документы по созданию и функционированию ЕАЭС направлены на поддержание макроэкономической стабильности и повышение конкурентоспособности экономик государств-членов этого объединения.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 xml:space="preserve">Целью дальнейшего экономического развития можно считать достижение и поддержание </w:t>
      </w:r>
      <w:r w:rsidRPr="00136F32">
        <w:rPr>
          <w:sz w:val="28"/>
          <w:szCs w:val="28"/>
        </w:rPr>
        <w:lastRenderedPageBreak/>
        <w:t>качественного и устойчивого экономического роста государств-членов и ЕАЭС в целом за счет реализации их конкурентных преимуществ.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Состояние внешнеторговых связей является одним из важнейших показателей развития интеграционных процессов на территории Евразийского Экономического Союза.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Масштабы и структура свободного обмена товарами, производимыми его участниками, свидетельствуют об интенсивности взаимного экономического общения, успехах и неудачах строительства единого экономического пространства.</w:t>
      </w:r>
    </w:p>
    <w:p w:rsidR="002235C7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Стоит отметить те действия, которые направлены на улучшение условий торговли между государствами-членами ЕАЭС. В первую очередь, это связано с упрощением таможенных процедур и развитием так называемого механизма «единого окна».</w:t>
      </w:r>
      <w:r w:rsidR="002235C7">
        <w:rPr>
          <w:sz w:val="28"/>
          <w:szCs w:val="28"/>
        </w:rPr>
        <w:t xml:space="preserve"> </w:t>
      </w:r>
    </w:p>
    <w:p w:rsidR="00861C74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Под «единым окном» подразумевается способ взаимодействия между государственными регулирующими органами и участниками внешнеэкономической деятельности, который позволяет последним однократно представлять документы в стандартизованном виде через единый пропускной канал для дальнейшего использования заинтересованными лицами в соответствии с их компетенцией при проведении контроля за осуществлением внешнеэкономической деятельности.</w:t>
      </w:r>
      <w:r w:rsidR="00861C74" w:rsidRPr="00136F32">
        <w:rPr>
          <w:rStyle w:val="af2"/>
          <w:sz w:val="28"/>
          <w:szCs w:val="28"/>
        </w:rPr>
        <w:footnoteReference w:id="11"/>
      </w:r>
    </w:p>
    <w:p w:rsidR="00861C74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Можно выдел</w:t>
      </w:r>
      <w:r w:rsidR="00DD422D">
        <w:rPr>
          <w:sz w:val="28"/>
          <w:szCs w:val="28"/>
        </w:rPr>
        <w:t>ить такой минус, который отметил Попов В.В., что</w:t>
      </w:r>
      <w:r w:rsidRPr="00136F32">
        <w:rPr>
          <w:sz w:val="28"/>
          <w:szCs w:val="28"/>
        </w:rPr>
        <w:t>:</w:t>
      </w:r>
      <w:r w:rsidR="00861C74" w:rsidRPr="00136F32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"Транзитные товары, которые временно допущены на территорию страны-союзника ЕАЭС или же временно вывезенные с его территории, не пополняют и не сокращают запасы материальных ресурсов участников и по этой причине не подлежат включению в таможенную статистику внешней торговли и в статистику взаимной торговли."</w:t>
      </w:r>
      <w:r w:rsidR="00861C74" w:rsidRPr="00136F32">
        <w:rPr>
          <w:rStyle w:val="af2"/>
          <w:sz w:val="28"/>
          <w:szCs w:val="28"/>
        </w:rPr>
        <w:footnoteReference w:id="12"/>
      </w:r>
    </w:p>
    <w:p w:rsidR="00861C74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lastRenderedPageBreak/>
        <w:t>Но стоит упомянуть и проделанную работу по устранению изъятий и ограничений на внутреннем рынке ЕАЭС. Главы стран-союзников ЕАЭС не раз подчеркивали необходимость максимальной оптимизации условий экономической деятельности, полной отмены изъятий и ограничений в движении товаров в рамках Союза.</w:t>
      </w:r>
      <w:r w:rsidR="002235C7">
        <w:rPr>
          <w:sz w:val="28"/>
          <w:szCs w:val="28"/>
        </w:rPr>
        <w:t xml:space="preserve"> </w:t>
      </w:r>
      <w:r w:rsidR="00A660FC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ЕЭК совместно с государствами-членами Союза провела последовательную работу в этом направлении, в ходе которой стороны провели полный обзор имеющихся нормативных актов, которые направлены н</w:t>
      </w:r>
      <w:r w:rsidR="0021787E">
        <w:rPr>
          <w:sz w:val="28"/>
          <w:szCs w:val="28"/>
        </w:rPr>
        <w:t>а созд</w:t>
      </w:r>
      <w:r w:rsidRPr="00136F32">
        <w:rPr>
          <w:sz w:val="28"/>
          <w:szCs w:val="28"/>
        </w:rPr>
        <w:t>ание условий для перехода на электронное взаимодействие участников ВЭД и государственных органов.</w:t>
      </w:r>
    </w:p>
    <w:p w:rsidR="00A660FC" w:rsidRDefault="00A618A0" w:rsidP="00A660FC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Рассмотрению также были подвергнуты ключевые бизнес-процессы в сфере ВЭД, связанные с импортом, экспортом и транзитом товаров, также не остались без внимания информационно-технические системы и программы, которые используются в настоящее время государственными органами.</w:t>
      </w:r>
    </w:p>
    <w:p w:rsidR="00676B12" w:rsidRPr="00676B12" w:rsidRDefault="004D2406" w:rsidP="00A660FC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</w:t>
      </w:r>
      <w:r w:rsidR="00A660FC">
        <w:rPr>
          <w:sz w:val="28"/>
          <w:szCs w:val="28"/>
        </w:rPr>
        <w:t xml:space="preserve">также упомянуть, что </w:t>
      </w:r>
      <w:r w:rsidR="00676B12" w:rsidRPr="00676B12">
        <w:rPr>
          <w:sz w:val="28"/>
          <w:szCs w:val="28"/>
        </w:rPr>
        <w:t>Президент России В.</w:t>
      </w:r>
      <w:r w:rsidR="00A660FC">
        <w:rPr>
          <w:sz w:val="28"/>
          <w:szCs w:val="28"/>
        </w:rPr>
        <w:t xml:space="preserve">В. </w:t>
      </w:r>
      <w:r>
        <w:rPr>
          <w:sz w:val="28"/>
          <w:szCs w:val="28"/>
        </w:rPr>
        <w:t>Путин заяв</w:t>
      </w:r>
      <w:r w:rsidR="00676B12" w:rsidRPr="00676B12">
        <w:rPr>
          <w:sz w:val="28"/>
          <w:szCs w:val="28"/>
        </w:rPr>
        <w:t>л</w:t>
      </w:r>
      <w:r>
        <w:rPr>
          <w:sz w:val="28"/>
          <w:szCs w:val="28"/>
        </w:rPr>
        <w:t>ял</w:t>
      </w:r>
      <w:r w:rsidR="00676B12" w:rsidRPr="00676B12">
        <w:rPr>
          <w:sz w:val="28"/>
          <w:szCs w:val="28"/>
        </w:rPr>
        <w:t xml:space="preserve"> о необходимости начала консультаций по линии ЕАЭС о "формировании возможного экономического партнерства" со странами ШОС и АСЕАН.</w:t>
      </w:r>
    </w:p>
    <w:p w:rsidR="00BE408D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96AC8">
        <w:rPr>
          <w:sz w:val="28"/>
          <w:szCs w:val="28"/>
        </w:rPr>
        <w:t>ожно сказать, что</w:t>
      </w:r>
      <w:r w:rsidR="00676B12" w:rsidRPr="00676B12">
        <w:rPr>
          <w:sz w:val="28"/>
          <w:szCs w:val="28"/>
        </w:rPr>
        <w:t xml:space="preserve"> стратеги</w:t>
      </w:r>
      <w:r w:rsidR="00A660FC">
        <w:rPr>
          <w:sz w:val="28"/>
          <w:szCs w:val="28"/>
        </w:rPr>
        <w:t xml:space="preserve">я уже начинает приносить свои </w:t>
      </w:r>
      <w:r w:rsidR="00676B12" w:rsidRPr="00676B12">
        <w:rPr>
          <w:sz w:val="28"/>
          <w:szCs w:val="28"/>
        </w:rPr>
        <w:t xml:space="preserve">результаты. ЕАЭС заключил соглашение о свободной торговле с Вьетнамом. </w:t>
      </w:r>
      <w:r w:rsidR="00A660FC">
        <w:rPr>
          <w:sz w:val="28"/>
          <w:szCs w:val="28"/>
        </w:rPr>
        <w:t xml:space="preserve">Интерес к созданию такого же режима проявляют </w:t>
      </w:r>
      <w:r w:rsidR="00676B12" w:rsidRPr="00676B12">
        <w:rPr>
          <w:sz w:val="28"/>
          <w:szCs w:val="28"/>
        </w:rPr>
        <w:t xml:space="preserve">Сингапур, </w:t>
      </w:r>
      <w:r w:rsidR="00A660FC">
        <w:rPr>
          <w:sz w:val="28"/>
          <w:szCs w:val="28"/>
        </w:rPr>
        <w:t xml:space="preserve">Таиланд, </w:t>
      </w:r>
      <w:r w:rsidR="00676B12" w:rsidRPr="00676B12">
        <w:rPr>
          <w:sz w:val="28"/>
          <w:szCs w:val="28"/>
        </w:rPr>
        <w:t xml:space="preserve">Пакистан, </w:t>
      </w:r>
      <w:r w:rsidR="00A660FC">
        <w:rPr>
          <w:sz w:val="28"/>
          <w:szCs w:val="28"/>
        </w:rPr>
        <w:t xml:space="preserve">Индия, </w:t>
      </w:r>
      <w:r w:rsidR="00676B12" w:rsidRPr="00676B12">
        <w:rPr>
          <w:sz w:val="28"/>
          <w:szCs w:val="28"/>
        </w:rPr>
        <w:t>Израиль, Иран.</w:t>
      </w:r>
    </w:p>
    <w:p w:rsidR="00676B12" w:rsidRDefault="00BE408D" w:rsidP="003D3E82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л</w:t>
      </w:r>
      <w:r w:rsidR="00676B12" w:rsidRPr="00676B12">
        <w:rPr>
          <w:sz w:val="28"/>
          <w:szCs w:val="28"/>
        </w:rPr>
        <w:t>идеры России и Китая подписали заявление о сотрудничестве по сопряжению проектов "Экономическо</w:t>
      </w:r>
      <w:r w:rsidR="001D3451">
        <w:rPr>
          <w:sz w:val="28"/>
          <w:szCs w:val="28"/>
        </w:rPr>
        <w:t xml:space="preserve">го пояса </w:t>
      </w:r>
      <w:r>
        <w:rPr>
          <w:sz w:val="28"/>
          <w:szCs w:val="28"/>
        </w:rPr>
        <w:t>Шелкового пути"</w:t>
      </w:r>
      <w:r w:rsidR="00FC18B8">
        <w:rPr>
          <w:rStyle w:val="af2"/>
          <w:sz w:val="28"/>
          <w:szCs w:val="28"/>
        </w:rPr>
        <w:footnoteReference w:id="13"/>
      </w:r>
      <w:r w:rsidR="00FC1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ЕАЭС, </w:t>
      </w:r>
      <w:r w:rsidRPr="00C6036B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C6036B">
        <w:rPr>
          <w:sz w:val="28"/>
          <w:szCs w:val="28"/>
        </w:rPr>
        <w:t xml:space="preserve"> которого </w:t>
      </w:r>
      <w:r>
        <w:rPr>
          <w:sz w:val="28"/>
          <w:szCs w:val="28"/>
        </w:rPr>
        <w:t>является повышение эффективности</w:t>
      </w:r>
      <w:r w:rsidRPr="00C6036B">
        <w:rPr>
          <w:sz w:val="28"/>
          <w:szCs w:val="28"/>
        </w:rPr>
        <w:t xml:space="preserve"> функционирования торговых путей</w:t>
      </w:r>
      <w:r>
        <w:rPr>
          <w:sz w:val="28"/>
          <w:szCs w:val="28"/>
        </w:rPr>
        <w:t xml:space="preserve"> и цепочек поставок, в совокуп</w:t>
      </w:r>
      <w:r w:rsidRPr="00C6036B">
        <w:rPr>
          <w:sz w:val="28"/>
          <w:szCs w:val="28"/>
        </w:rPr>
        <w:t>ности с использованием</w:t>
      </w:r>
      <w:r w:rsidR="003D3E82">
        <w:rPr>
          <w:sz w:val="28"/>
          <w:szCs w:val="28"/>
        </w:rPr>
        <w:t xml:space="preserve"> потенциала единого рынка ЕАЭС. </w:t>
      </w:r>
    </w:p>
    <w:p w:rsidR="00363656" w:rsidRDefault="006C022B" w:rsidP="003D3E82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Хотелось бы подчеркнуть, что в </w:t>
      </w:r>
      <w:r w:rsidRPr="006C022B">
        <w:rPr>
          <w:sz w:val="28"/>
          <w:szCs w:val="28"/>
        </w:rPr>
        <w:t>товарной структуре экспорта государств – членов ЕАЭС в третьи страны преобладают минеральные продукты (62,1% общего объема экспорта государств – членов ЕАЭС в третьи страны), металлы и изделия из них (10,4%), продукция химической промышленности (6,9%). Более 75% этих товаров продает на внешнем рынке Российская Федерация.</w:t>
      </w:r>
    </w:p>
    <w:p w:rsidR="006C022B" w:rsidRPr="00676B12" w:rsidRDefault="006C022B" w:rsidP="003D3E82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022B">
        <w:rPr>
          <w:sz w:val="28"/>
          <w:szCs w:val="28"/>
        </w:rPr>
        <w:t xml:space="preserve"> Наибольшую долю в импорте занимают машины, оборудование и транспортные средства (41,1% совокупного импорта), продукция химической промышленности (18,4%), продовольственные товары и сельскохозяйственное сырье (15,5%). Более 80% объема закупок этих товаров за пределами ЕАЭС осуществляет </w:t>
      </w:r>
      <w:r>
        <w:rPr>
          <w:sz w:val="28"/>
          <w:szCs w:val="28"/>
        </w:rPr>
        <w:t>Росси</w:t>
      </w:r>
      <w:r w:rsidR="00333E54">
        <w:rPr>
          <w:sz w:val="28"/>
          <w:szCs w:val="28"/>
        </w:rPr>
        <w:t>я.</w:t>
      </w:r>
      <w:r w:rsidR="00333E54">
        <w:rPr>
          <w:rStyle w:val="af2"/>
          <w:sz w:val="28"/>
          <w:szCs w:val="28"/>
        </w:rPr>
        <w:footnoteReference w:id="14"/>
      </w:r>
    </w:p>
    <w:p w:rsidR="00BE408D" w:rsidRDefault="00A660FC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08D" w:rsidRDefault="00BE408D" w:rsidP="003D3E82">
      <w:pPr>
        <w:tabs>
          <w:tab w:val="left" w:pos="15105"/>
          <w:tab w:val="right" w:pos="16838"/>
        </w:tabs>
        <w:spacing w:line="360" w:lineRule="auto"/>
        <w:contextualSpacing/>
        <w:jc w:val="both"/>
        <w:rPr>
          <w:sz w:val="28"/>
          <w:szCs w:val="28"/>
        </w:rPr>
      </w:pPr>
    </w:p>
    <w:p w:rsidR="006C022B" w:rsidRDefault="00BE408D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3E8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BE408D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C022B" w:rsidRDefault="006C022B" w:rsidP="00333E54">
      <w:pPr>
        <w:tabs>
          <w:tab w:val="left" w:pos="15105"/>
          <w:tab w:val="right" w:pos="16838"/>
        </w:tabs>
        <w:spacing w:line="360" w:lineRule="auto"/>
        <w:contextualSpacing/>
        <w:jc w:val="both"/>
        <w:rPr>
          <w:sz w:val="28"/>
          <w:szCs w:val="28"/>
        </w:rPr>
      </w:pPr>
    </w:p>
    <w:p w:rsidR="00861C74" w:rsidRPr="00363656" w:rsidRDefault="006C022B" w:rsidP="00363656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F2597B">
        <w:rPr>
          <w:b/>
          <w:sz w:val="28"/>
          <w:szCs w:val="28"/>
        </w:rPr>
        <w:t xml:space="preserve"> </w:t>
      </w:r>
      <w:r w:rsidR="002525D7">
        <w:rPr>
          <w:b/>
          <w:sz w:val="28"/>
          <w:szCs w:val="28"/>
        </w:rPr>
        <w:t xml:space="preserve">  </w:t>
      </w:r>
      <w:r w:rsidR="009E5B96">
        <w:rPr>
          <w:b/>
          <w:sz w:val="28"/>
          <w:szCs w:val="28"/>
        </w:rPr>
        <w:t xml:space="preserve"> </w:t>
      </w:r>
      <w:r w:rsidR="002235C7" w:rsidRPr="00A74E5A">
        <w:rPr>
          <w:b/>
          <w:sz w:val="28"/>
          <w:szCs w:val="28"/>
        </w:rPr>
        <w:t>З</w:t>
      </w:r>
      <w:r w:rsidR="002B30A6">
        <w:rPr>
          <w:b/>
          <w:sz w:val="28"/>
          <w:szCs w:val="28"/>
        </w:rPr>
        <w:t>аключение</w:t>
      </w:r>
    </w:p>
    <w:p w:rsidR="00A618A0" w:rsidRPr="00136F32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Исходя из проведенных исследований можно сделать вывод, что состояние внешнеторговой деятельности является важнейшим показателем развития интеграционных процессов на территори</w:t>
      </w:r>
      <w:r w:rsidR="00BF4B0F">
        <w:rPr>
          <w:sz w:val="28"/>
          <w:szCs w:val="28"/>
        </w:rPr>
        <w:t>и Евразийского экономического со</w:t>
      </w:r>
      <w:r w:rsidRPr="00136F32">
        <w:rPr>
          <w:sz w:val="28"/>
          <w:szCs w:val="28"/>
        </w:rPr>
        <w:t>юза.</w:t>
      </w:r>
    </w:p>
    <w:p w:rsidR="005360CA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Основополагающим фактором в отношениях государств-членов ЕАЭС являются их собственные интересы, а также интересы стран-партнеров этого Союза.</w:t>
      </w:r>
      <w:r w:rsidR="002235C7">
        <w:rPr>
          <w:sz w:val="28"/>
          <w:szCs w:val="28"/>
        </w:rPr>
        <w:t xml:space="preserve"> </w:t>
      </w:r>
      <w:r w:rsidRPr="00136F32">
        <w:rPr>
          <w:sz w:val="28"/>
          <w:szCs w:val="28"/>
        </w:rPr>
        <w:t>Именно поэтому регулирование их отношений в любых сферах, в том числе и в сфере экономики, и в частности в области внешней торговли, является важнейшей функцией этих государств.</w:t>
      </w:r>
    </w:p>
    <w:p w:rsidR="00B606C5" w:rsidRDefault="002235C7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8A0" w:rsidRPr="00136F32">
        <w:rPr>
          <w:sz w:val="28"/>
          <w:szCs w:val="28"/>
        </w:rPr>
        <w:t>Хотелось бы отметить, что все участники Союза очень отличаются по экономическому потенциалу, структуре национальных экономик и механизму, принципам организации экономики.</w:t>
      </w:r>
      <w:r>
        <w:rPr>
          <w:sz w:val="28"/>
          <w:szCs w:val="28"/>
        </w:rPr>
        <w:t xml:space="preserve"> </w:t>
      </w:r>
    </w:p>
    <w:p w:rsidR="00E57073" w:rsidRDefault="00A618A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36F32">
        <w:rPr>
          <w:sz w:val="28"/>
          <w:szCs w:val="28"/>
        </w:rPr>
        <w:t>Для отдельных государств, например</w:t>
      </w:r>
      <w:r w:rsidR="00E35EA4">
        <w:rPr>
          <w:sz w:val="28"/>
          <w:szCs w:val="28"/>
        </w:rPr>
        <w:t>,</w:t>
      </w:r>
      <w:r w:rsidRPr="00136F32">
        <w:rPr>
          <w:sz w:val="28"/>
          <w:szCs w:val="28"/>
        </w:rPr>
        <w:t xml:space="preserve"> Армении, один из основных способов экономическ</w:t>
      </w:r>
      <w:r w:rsidR="00861C74" w:rsidRPr="00136F32">
        <w:rPr>
          <w:sz w:val="28"/>
          <w:szCs w:val="28"/>
        </w:rPr>
        <w:t>ого развития - это внешнеторго</w:t>
      </w:r>
      <w:r w:rsidRPr="00136F32">
        <w:rPr>
          <w:sz w:val="28"/>
          <w:szCs w:val="28"/>
        </w:rPr>
        <w:t>вая деятельность в составе ЕАЭС.</w:t>
      </w:r>
    </w:p>
    <w:p w:rsidR="00A618A0" w:rsidRPr="00136F32" w:rsidRDefault="002235C7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8A0" w:rsidRPr="00136F32">
        <w:rPr>
          <w:sz w:val="28"/>
          <w:szCs w:val="28"/>
        </w:rPr>
        <w:t>Государства-участники стали более защищены от внешних воздействий, растет как взаимная торговля между самими участниками Союза, так и экспорт в третьи страны.</w:t>
      </w:r>
    </w:p>
    <w:p w:rsidR="0059361E" w:rsidRDefault="0059361E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D5B10" w:rsidRDefault="00FD5B1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4DEA" w:rsidRDefault="00E04DEA" w:rsidP="00E04DEA">
      <w:pPr>
        <w:tabs>
          <w:tab w:val="left" w:pos="15105"/>
          <w:tab w:val="right" w:pos="16838"/>
        </w:tabs>
        <w:spacing w:line="360" w:lineRule="auto"/>
        <w:contextualSpacing/>
        <w:jc w:val="both"/>
        <w:rPr>
          <w:sz w:val="28"/>
          <w:szCs w:val="28"/>
        </w:rPr>
      </w:pPr>
    </w:p>
    <w:p w:rsidR="00FD5B10" w:rsidRPr="00D113FF" w:rsidRDefault="00C77C89" w:rsidP="00C77C89">
      <w:pPr>
        <w:tabs>
          <w:tab w:val="left" w:pos="15105"/>
          <w:tab w:val="right" w:pos="16838"/>
        </w:tabs>
        <w:spacing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FD5B10" w:rsidRPr="00D113FF">
        <w:rPr>
          <w:b/>
          <w:sz w:val="28"/>
          <w:szCs w:val="28"/>
        </w:rPr>
        <w:t>БИБЛИОГРАФИЯ</w:t>
      </w:r>
    </w:p>
    <w:p w:rsidR="00FD5B10" w:rsidRPr="00D113FF" w:rsidRDefault="00FF6D05" w:rsidP="00FF6D05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FD5B10" w:rsidRPr="00D113FF">
        <w:rPr>
          <w:b/>
          <w:sz w:val="28"/>
          <w:szCs w:val="28"/>
        </w:rPr>
        <w:t>Нормативно-правовые акты:</w:t>
      </w:r>
    </w:p>
    <w:p w:rsidR="00161F63" w:rsidRDefault="00FD5B10" w:rsidP="00E04DEA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5B10">
        <w:rPr>
          <w:color w:val="000000" w:themeColor="text1"/>
          <w:sz w:val="28"/>
          <w:szCs w:val="28"/>
          <w:shd w:val="clear" w:color="auto" w:fill="FFFFFF"/>
        </w:rPr>
        <w:t>1. "Таможенный кодекс Таможенного союза"</w:t>
      </w:r>
      <w:r w:rsidR="005220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D5B10">
        <w:rPr>
          <w:color w:val="000000" w:themeColor="text1"/>
          <w:sz w:val="28"/>
          <w:szCs w:val="28"/>
          <w:shd w:val="clear" w:color="auto" w:fill="FFFFFF"/>
        </w:rPr>
        <w:t xml:space="preserve">(приложение к Договору о Таможенном кодексе Таможенного союза, принятому Решением Межгосударственного Совета </w:t>
      </w:r>
      <w:proofErr w:type="spellStart"/>
      <w:r w:rsidRPr="00FD5B10">
        <w:rPr>
          <w:color w:val="000000" w:themeColor="text1"/>
          <w:sz w:val="28"/>
          <w:szCs w:val="28"/>
          <w:shd w:val="clear" w:color="auto" w:fill="FFFFFF"/>
        </w:rPr>
        <w:t>ЕврАзЭС</w:t>
      </w:r>
      <w:proofErr w:type="spellEnd"/>
      <w:r w:rsidRPr="00FD5B10">
        <w:rPr>
          <w:color w:val="000000" w:themeColor="text1"/>
          <w:sz w:val="28"/>
          <w:szCs w:val="28"/>
          <w:shd w:val="clear" w:color="auto" w:fill="FFFFFF"/>
        </w:rPr>
        <w:t xml:space="preserve"> на уровне глав государств от 27.11.2009 N 17)</w:t>
      </w:r>
      <w:r w:rsidR="00FC384E" w:rsidRPr="00FC384E">
        <w:t xml:space="preserve"> </w:t>
      </w:r>
      <w:r w:rsidR="00FC384E" w:rsidRPr="00FC384E">
        <w:rPr>
          <w:color w:val="000000" w:themeColor="text1"/>
          <w:sz w:val="28"/>
          <w:szCs w:val="28"/>
          <w:shd w:val="clear" w:color="auto" w:fill="FFFFFF"/>
        </w:rPr>
        <w:t>(ред. от 08.05.2015)</w:t>
      </w:r>
      <w:r w:rsidRPr="00FD5B1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5220A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// СПС Консультант Плюс </w:t>
      </w:r>
    </w:p>
    <w:p w:rsidR="007C454F" w:rsidRDefault="00FD5B10" w:rsidP="00E04DEA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5B10">
        <w:rPr>
          <w:color w:val="000000" w:themeColor="text1"/>
          <w:sz w:val="28"/>
          <w:szCs w:val="28"/>
          <w:shd w:val="clear" w:color="auto" w:fill="FFFFFF"/>
        </w:rPr>
        <w:t>2. Федеральный закон Российской Федерации от 08.12.200</w:t>
      </w:r>
      <w:r w:rsidR="00FC384E">
        <w:rPr>
          <w:color w:val="000000" w:themeColor="text1"/>
          <w:sz w:val="28"/>
          <w:szCs w:val="28"/>
          <w:shd w:val="clear" w:color="auto" w:fill="FFFFFF"/>
        </w:rPr>
        <w:t xml:space="preserve">3 N 164-ФЗ (ред. от 13.07.2015) </w:t>
      </w:r>
      <w:r w:rsidRPr="00FD5B10">
        <w:rPr>
          <w:color w:val="000000" w:themeColor="text1"/>
          <w:sz w:val="28"/>
          <w:szCs w:val="28"/>
          <w:shd w:val="clear" w:color="auto" w:fill="FFFFFF"/>
        </w:rPr>
        <w:t>"Об основах государственного регулирования внешнеторговой деятельности"</w:t>
      </w:r>
      <w:r w:rsidR="005220A4">
        <w:rPr>
          <w:color w:val="000000" w:themeColor="text1"/>
          <w:sz w:val="28"/>
          <w:szCs w:val="28"/>
          <w:shd w:val="clear" w:color="auto" w:fill="FFFFFF"/>
        </w:rPr>
        <w:t xml:space="preserve"> // СПС Консультант Плюс </w:t>
      </w:r>
    </w:p>
    <w:p w:rsidR="00161F63" w:rsidRPr="005220A4" w:rsidRDefault="00FF6D05" w:rsidP="005220A4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="00FD5B10" w:rsidRPr="00FD5B10">
        <w:rPr>
          <w:color w:val="000000" w:themeColor="text1"/>
          <w:sz w:val="28"/>
          <w:szCs w:val="28"/>
          <w:shd w:val="clear" w:color="auto" w:fill="FFFFFF"/>
        </w:rPr>
        <w:t>Закон Республики Беларусь от 25.11.2004 №347-З "О государственном регулировании внешнеторговой деятельности"</w:t>
      </w:r>
      <w:r w:rsidR="005220A4">
        <w:t xml:space="preserve">// </w:t>
      </w:r>
      <w:r w:rsidR="005220A4">
        <w:rPr>
          <w:sz w:val="28"/>
          <w:szCs w:val="28"/>
        </w:rPr>
        <w:t>Национальный прав</w:t>
      </w:r>
      <w:r w:rsidR="005220A4" w:rsidRPr="005220A4">
        <w:rPr>
          <w:color w:val="000000" w:themeColor="text1"/>
          <w:sz w:val="28"/>
          <w:szCs w:val="28"/>
          <w:shd w:val="clear" w:color="auto" w:fill="FFFFFF"/>
        </w:rPr>
        <w:t>овой Интернет-портал Республики Беларусь</w:t>
      </w:r>
    </w:p>
    <w:p w:rsidR="00161F63" w:rsidRDefault="00FD5B10" w:rsidP="00E04DEA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D5B10">
        <w:rPr>
          <w:color w:val="000000" w:themeColor="text1"/>
          <w:sz w:val="28"/>
          <w:szCs w:val="28"/>
          <w:shd w:val="clear" w:color="auto" w:fill="FFFFFF"/>
        </w:rPr>
        <w:t>4. Закон Республики Казахстан от 12 апреля 2004 года №544 "О регулировании торговой деятельности"</w:t>
      </w:r>
      <w:r w:rsidRPr="00FD5B1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5220A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// Информационная система Параграф</w:t>
      </w:r>
    </w:p>
    <w:p w:rsidR="00161F63" w:rsidRDefault="00FD5B10" w:rsidP="00E04DEA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D5B10">
        <w:rPr>
          <w:color w:val="000000" w:themeColor="text1"/>
          <w:sz w:val="28"/>
          <w:szCs w:val="28"/>
          <w:shd w:val="clear" w:color="auto" w:fill="FFFFFF"/>
        </w:rPr>
        <w:t>5. Закон Кыргызской Республики от 2 июля 1997 года № 41 "О государственном регулировании внешнетор</w:t>
      </w:r>
      <w:r w:rsidR="00161F63">
        <w:rPr>
          <w:color w:val="000000" w:themeColor="text1"/>
          <w:sz w:val="28"/>
          <w:szCs w:val="28"/>
          <w:shd w:val="clear" w:color="auto" w:fill="FFFFFF"/>
        </w:rPr>
        <w:t>говой деятельности в Кыргызской </w:t>
      </w:r>
      <w:r w:rsidRPr="00FD5B10">
        <w:rPr>
          <w:color w:val="000000" w:themeColor="text1"/>
          <w:sz w:val="28"/>
          <w:szCs w:val="28"/>
          <w:shd w:val="clear" w:color="auto" w:fill="FFFFFF"/>
        </w:rPr>
        <w:t>Республике"</w:t>
      </w:r>
      <w:r w:rsidR="002502AD">
        <w:rPr>
          <w:color w:val="000000" w:themeColor="text1"/>
          <w:sz w:val="28"/>
          <w:szCs w:val="28"/>
          <w:shd w:val="clear" w:color="auto" w:fill="FFFFFF"/>
        </w:rPr>
        <w:t xml:space="preserve"> // Централизованный банк данных правовой информации Кыргызской Республики</w:t>
      </w:r>
    </w:p>
    <w:p w:rsidR="00161F63" w:rsidRDefault="002502AD" w:rsidP="00E04DEA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="00FD5B10" w:rsidRPr="00FD5B10">
        <w:rPr>
          <w:color w:val="000000" w:themeColor="text1"/>
          <w:sz w:val="28"/>
          <w:szCs w:val="28"/>
          <w:shd w:val="clear" w:color="auto" w:fill="FFFFFF"/>
        </w:rPr>
        <w:t xml:space="preserve">Закон Республики Армения </w:t>
      </w:r>
      <w:r>
        <w:rPr>
          <w:color w:val="000000" w:themeColor="text1"/>
          <w:sz w:val="28"/>
          <w:szCs w:val="28"/>
          <w:shd w:val="clear" w:color="auto" w:fill="FFFFFF"/>
        </w:rPr>
        <w:t>от 30 декабря 2014 года №ЗР-241</w:t>
      </w:r>
      <w:r w:rsidR="00FD5B10" w:rsidRPr="00FD5B10">
        <w:rPr>
          <w:color w:val="000000" w:themeColor="text1"/>
          <w:sz w:val="28"/>
          <w:szCs w:val="28"/>
          <w:shd w:val="clear" w:color="auto" w:fill="FFFFFF"/>
        </w:rPr>
        <w:t>"О</w:t>
      </w:r>
      <w:r w:rsidR="00161F63">
        <w:rPr>
          <w:color w:val="000000" w:themeColor="text1"/>
          <w:sz w:val="28"/>
          <w:szCs w:val="28"/>
          <w:shd w:val="clear" w:color="auto" w:fill="FFFFFF"/>
        </w:rPr>
        <w:t xml:space="preserve"> таможенном </w:t>
      </w:r>
      <w:r w:rsidR="00FD5B10" w:rsidRPr="00FD5B10">
        <w:rPr>
          <w:color w:val="000000" w:themeColor="text1"/>
          <w:sz w:val="28"/>
          <w:szCs w:val="28"/>
          <w:shd w:val="clear" w:color="auto" w:fill="FFFFFF"/>
        </w:rPr>
        <w:t>регулировании"</w:t>
      </w:r>
      <w:r w:rsidR="00FD5B10" w:rsidRPr="00FD5B1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// Информационная система Законодательство </w:t>
      </w:r>
      <w:r w:rsidR="00C9326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стран</w:t>
      </w:r>
      <w:r w:rsidR="00363656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3262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СНГ</w:t>
      </w:r>
      <w:r w:rsidR="00FD5B10" w:rsidRPr="00FD5B10">
        <w:rPr>
          <w:color w:val="000000" w:themeColor="text1"/>
          <w:sz w:val="28"/>
          <w:szCs w:val="28"/>
        </w:rPr>
        <w:br/>
      </w:r>
    </w:p>
    <w:p w:rsidR="004D12F9" w:rsidRPr="00D113FF" w:rsidRDefault="00FD5B10" w:rsidP="004D12F9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center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 w:rsidRPr="00D113FF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Специальная литература</w:t>
      </w:r>
    </w:p>
    <w:p w:rsidR="00FD5B10" w:rsidRDefault="00FD5B10" w:rsidP="004D12F9">
      <w:pPr>
        <w:tabs>
          <w:tab w:val="left" w:pos="15105"/>
          <w:tab w:val="right" w:pos="16838"/>
        </w:tabs>
        <w:spacing w:line="360" w:lineRule="auto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C93262">
        <w:rPr>
          <w:color w:val="000000" w:themeColor="text1"/>
          <w:sz w:val="28"/>
          <w:szCs w:val="28"/>
          <w:shd w:val="clear" w:color="auto" w:fill="FFFFFF"/>
        </w:rPr>
        <w:t xml:space="preserve">Попов В. </w:t>
      </w:r>
      <w:r w:rsidRPr="00FD5B10">
        <w:rPr>
          <w:color w:val="000000" w:themeColor="text1"/>
          <w:sz w:val="28"/>
          <w:szCs w:val="28"/>
          <w:shd w:val="clear" w:color="auto" w:fill="FFFFFF"/>
        </w:rPr>
        <w:t xml:space="preserve">В., </w:t>
      </w:r>
      <w:proofErr w:type="spellStart"/>
      <w:r w:rsidRPr="00FD5B10">
        <w:rPr>
          <w:color w:val="000000" w:themeColor="text1"/>
          <w:sz w:val="28"/>
          <w:szCs w:val="28"/>
          <w:shd w:val="clear" w:color="auto" w:fill="FFFFFF"/>
        </w:rPr>
        <w:t>Нефёдова</w:t>
      </w:r>
      <w:proofErr w:type="spellEnd"/>
      <w:r w:rsidRPr="00FD5B10">
        <w:rPr>
          <w:color w:val="000000" w:themeColor="text1"/>
          <w:sz w:val="28"/>
          <w:szCs w:val="28"/>
          <w:shd w:val="clear" w:color="auto" w:fill="FFFFFF"/>
        </w:rPr>
        <w:t xml:space="preserve"> Я. М. Экономико-статистический анализ внешнеторгового оборота государств-членов ЕАЭС // Молодой ученый. — 2017. — №5. — С. 226-231.</w:t>
      </w:r>
      <w:r w:rsidRPr="00FD5B1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785750" w:rsidRDefault="00161F63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785750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</w:p>
    <w:p w:rsidR="00990D43" w:rsidRPr="00D113FF" w:rsidRDefault="0078575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                   </w:t>
      </w:r>
      <w:bookmarkStart w:id="0" w:name="_GoBack"/>
      <w:bookmarkEnd w:id="0"/>
      <w:r w:rsidR="00161F63">
        <w:rPr>
          <w:color w:val="000000"/>
          <w:sz w:val="28"/>
          <w:szCs w:val="28"/>
          <w:shd w:val="clear" w:color="auto" w:fill="FFFFFF"/>
        </w:rPr>
        <w:t xml:space="preserve">  </w:t>
      </w:r>
      <w:r w:rsidR="00FD5B10" w:rsidRPr="00D113FF">
        <w:rPr>
          <w:b/>
          <w:color w:val="000000"/>
          <w:sz w:val="28"/>
          <w:szCs w:val="28"/>
          <w:shd w:val="clear" w:color="auto" w:fill="FFFFFF"/>
        </w:rPr>
        <w:t>Интернет-ресурсы</w:t>
      </w:r>
      <w:r w:rsidR="00FD5B10" w:rsidRPr="00D113FF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37746C" w:rsidRDefault="0078575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1D3451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D5B10" w:rsidRPr="00FD5B10">
        <w:rPr>
          <w:color w:val="000000"/>
          <w:sz w:val="28"/>
          <w:szCs w:val="28"/>
          <w:shd w:val="clear" w:color="auto" w:fill="FFFFFF"/>
        </w:rPr>
        <w:t>С</w:t>
      </w:r>
      <w:r w:rsidR="00B862A0">
        <w:rPr>
          <w:color w:val="000000"/>
          <w:sz w:val="28"/>
          <w:szCs w:val="28"/>
          <w:shd w:val="clear" w:color="auto" w:fill="FFFFFF"/>
        </w:rPr>
        <w:t>татистика внешней и взаимной торговли стран-участниц ЕАЭС</w:t>
      </w:r>
      <w:r>
        <w:rPr>
          <w:color w:val="000000"/>
          <w:sz w:val="28"/>
          <w:szCs w:val="28"/>
          <w:shd w:val="clear" w:color="auto" w:fill="FFFFFF"/>
        </w:rPr>
        <w:t xml:space="preserve"> //Официальный сайт ЕЭК </w:t>
      </w:r>
      <w:r w:rsidR="00FD5B10" w:rsidRPr="00FD5B10">
        <w:rPr>
          <w:color w:val="000000"/>
          <w:sz w:val="28"/>
          <w:szCs w:val="28"/>
          <w:shd w:val="clear" w:color="auto" w:fill="FFFFFF"/>
        </w:rPr>
        <w:t>URL:</w:t>
      </w:r>
      <w:r w:rsidR="00FD5B10" w:rsidRPr="00FD5B1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B862A0" w:rsidRPr="00AD0937">
          <w:rPr>
            <w:rStyle w:val="a9"/>
            <w:sz w:val="28"/>
            <w:szCs w:val="28"/>
            <w:shd w:val="clear" w:color="auto" w:fill="FFFFFF"/>
          </w:rPr>
          <w:t>http://www.eurasiancommission.org/ru/act/integr_i_makroec/dep_stat/tradestat/tables/intra/Pages/2016/12.aspx</w:t>
        </w:r>
      </w:hyperlink>
      <w:r w:rsidR="00B862A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(дата обращения 16.04.2017)</w:t>
      </w:r>
    </w:p>
    <w:p w:rsidR="00333E54" w:rsidRDefault="0078575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2</w:t>
      </w:r>
      <w:r w:rsidR="0037746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 w:rsidR="001D3451" w:rsidRPr="001D3451">
        <w:rPr>
          <w:color w:val="000000"/>
          <w:sz w:val="28"/>
          <w:szCs w:val="28"/>
          <w:shd w:val="clear" w:color="auto" w:fill="FFFFFF"/>
        </w:rPr>
        <w:t>Шелковый путь нашего времени: как Россия и Кита</w:t>
      </w:r>
      <w:r w:rsidR="001D3451">
        <w:rPr>
          <w:color w:val="000000"/>
          <w:sz w:val="28"/>
          <w:szCs w:val="28"/>
          <w:shd w:val="clear" w:color="auto" w:fill="FFFFFF"/>
        </w:rPr>
        <w:t xml:space="preserve">й создают евразийскую экономику // Информационное агентство России </w:t>
      </w:r>
      <w:r w:rsidR="001D3451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1D3451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0" w:history="1">
        <w:r w:rsidR="001D3451" w:rsidRPr="00AD0937">
          <w:rPr>
            <w:rStyle w:val="a9"/>
            <w:sz w:val="28"/>
            <w:szCs w:val="28"/>
            <w:shd w:val="clear" w:color="auto" w:fill="FFFFFF"/>
          </w:rPr>
          <w:t>http://tass.ru/politika/1956892</w:t>
        </w:r>
      </w:hyperlink>
      <w:r w:rsidR="001D3451">
        <w:rPr>
          <w:color w:val="000000"/>
          <w:sz w:val="28"/>
          <w:szCs w:val="28"/>
          <w:shd w:val="clear" w:color="auto" w:fill="FFFFFF"/>
        </w:rPr>
        <w:t xml:space="preserve"> (дата обращения 16.04.2017) </w:t>
      </w:r>
    </w:p>
    <w:p w:rsidR="00E460B4" w:rsidRDefault="0078575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333E54">
        <w:rPr>
          <w:color w:val="000000"/>
          <w:sz w:val="28"/>
          <w:szCs w:val="28"/>
          <w:shd w:val="clear" w:color="auto" w:fill="FFFFFF"/>
        </w:rPr>
        <w:t xml:space="preserve">. </w:t>
      </w:r>
      <w:r w:rsidR="00333E54" w:rsidRPr="00333E54">
        <w:rPr>
          <w:color w:val="000000"/>
          <w:sz w:val="28"/>
          <w:szCs w:val="28"/>
          <w:shd w:val="clear" w:color="auto" w:fill="FFFFFF"/>
        </w:rPr>
        <w:t>Об итогах внешней торговли товарами Евразийского экономического союза</w:t>
      </w:r>
      <w:r>
        <w:rPr>
          <w:color w:val="000000"/>
          <w:sz w:val="28"/>
          <w:szCs w:val="28"/>
          <w:shd w:val="clear" w:color="auto" w:fill="FFFFFF"/>
        </w:rPr>
        <w:t xml:space="preserve">  Аналитический обзор //Официальный сайт ЕЭК</w:t>
      </w:r>
      <w:r w:rsidR="00333E54">
        <w:rPr>
          <w:color w:val="000000"/>
          <w:sz w:val="28"/>
          <w:szCs w:val="28"/>
          <w:shd w:val="clear" w:color="auto" w:fill="FFFFFF"/>
        </w:rPr>
        <w:t xml:space="preserve"> </w:t>
      </w:r>
      <w:r w:rsidR="00333E54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333E54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1" w:history="1">
        <w:r w:rsidR="00333E54" w:rsidRPr="00AD0937">
          <w:rPr>
            <w:rStyle w:val="a9"/>
            <w:sz w:val="28"/>
            <w:szCs w:val="28"/>
            <w:shd w:val="clear" w:color="auto" w:fill="FFFFFF"/>
          </w:rPr>
          <w:t>http://www.eurasiancommission.org/ru/act/integr_i_makroec/dep_stat/tradestat/analytics/Documents/Analytics_E_201602.pdf</w:t>
        </w:r>
      </w:hyperlink>
      <w:r w:rsidR="00333E54">
        <w:rPr>
          <w:color w:val="000000"/>
          <w:sz w:val="28"/>
          <w:szCs w:val="28"/>
          <w:shd w:val="clear" w:color="auto" w:fill="FFFFFF"/>
        </w:rPr>
        <w:t xml:space="preserve"> (дата обращения 16.04.2017)</w:t>
      </w:r>
    </w:p>
    <w:p w:rsidR="002525D7" w:rsidRDefault="00785750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E460B4">
        <w:rPr>
          <w:color w:val="000000"/>
          <w:sz w:val="28"/>
          <w:szCs w:val="28"/>
          <w:shd w:val="clear" w:color="auto" w:fill="FFFFFF"/>
        </w:rPr>
        <w:t xml:space="preserve">. </w:t>
      </w:r>
      <w:r w:rsidR="00E460B4" w:rsidRPr="00E460B4">
        <w:rPr>
          <w:color w:val="000000"/>
          <w:sz w:val="28"/>
          <w:szCs w:val="28"/>
          <w:shd w:val="clear" w:color="auto" w:fill="FFFFFF"/>
        </w:rPr>
        <w:t xml:space="preserve">Официальный сайт Департамента по социальным и экономическим вопросам Организации Объединенных Наций </w:t>
      </w:r>
      <w:r w:rsidR="00E460B4" w:rsidRPr="00E460B4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E460B4" w:rsidRPr="00E460B4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2" w:history="1">
        <w:r w:rsidR="00E460B4" w:rsidRPr="00E460B4">
          <w:rPr>
            <w:rStyle w:val="a9"/>
            <w:sz w:val="28"/>
            <w:szCs w:val="28"/>
            <w:shd w:val="clear" w:color="auto" w:fill="FFFFFF"/>
          </w:rPr>
          <w:t>https://www.un.org/development/desa/ru/</w:t>
        </w:r>
      </w:hyperlink>
      <w:r w:rsidR="00E460B4" w:rsidRPr="00E460B4">
        <w:rPr>
          <w:color w:val="000000"/>
          <w:sz w:val="28"/>
          <w:szCs w:val="28"/>
          <w:shd w:val="clear" w:color="auto" w:fill="FFFFFF"/>
        </w:rPr>
        <w:t xml:space="preserve"> (дата обращен</w:t>
      </w:r>
      <w:r w:rsidR="00CF05DD">
        <w:rPr>
          <w:color w:val="000000"/>
          <w:sz w:val="28"/>
          <w:szCs w:val="28"/>
          <w:shd w:val="clear" w:color="auto" w:fill="FFFFFF"/>
        </w:rPr>
        <w:t>ия 1</w:t>
      </w:r>
      <w:r w:rsidR="002525D7">
        <w:rPr>
          <w:color w:val="000000"/>
          <w:sz w:val="28"/>
          <w:szCs w:val="28"/>
          <w:shd w:val="clear" w:color="auto" w:fill="FFFFFF"/>
        </w:rPr>
        <w:t>6</w:t>
      </w:r>
      <w:r w:rsidR="00E460B4" w:rsidRPr="00E460B4">
        <w:rPr>
          <w:color w:val="000000"/>
          <w:sz w:val="28"/>
          <w:szCs w:val="28"/>
          <w:shd w:val="clear" w:color="auto" w:fill="FFFFFF"/>
        </w:rPr>
        <w:t>.04.2017)</w:t>
      </w:r>
    </w:p>
    <w:p w:rsidR="00363656" w:rsidRDefault="00785750" w:rsidP="00E51FE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2525D7">
        <w:rPr>
          <w:color w:val="000000"/>
          <w:sz w:val="28"/>
          <w:szCs w:val="28"/>
          <w:shd w:val="clear" w:color="auto" w:fill="FFFFFF"/>
        </w:rPr>
        <w:t xml:space="preserve">. </w:t>
      </w:r>
      <w:r w:rsidR="002525D7" w:rsidRPr="002525D7">
        <w:rPr>
          <w:color w:val="000000"/>
          <w:sz w:val="28"/>
          <w:szCs w:val="28"/>
          <w:shd w:val="clear" w:color="auto" w:fill="FFFFFF"/>
        </w:rPr>
        <w:t xml:space="preserve">Основные направления развития «Единого окна» в системе регулирования внешнеэкономической деятельности //Официальный сайт ЕЭК  </w:t>
      </w:r>
      <w:r w:rsidR="002525D7" w:rsidRPr="002525D7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2525D7" w:rsidRPr="002525D7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3" w:history="1">
        <w:r w:rsidR="002525D7" w:rsidRPr="002525D7">
          <w:rPr>
            <w:rStyle w:val="a9"/>
            <w:sz w:val="28"/>
            <w:szCs w:val="28"/>
            <w:shd w:val="clear" w:color="auto" w:fill="FFFFFF"/>
          </w:rPr>
          <w:t>http://www.eurasiancommission.org/ru/act/tam_sotr/Pages/mdsw.aspx</w:t>
        </w:r>
      </w:hyperlink>
      <w:r w:rsidR="002525D7" w:rsidRPr="002525D7">
        <w:rPr>
          <w:color w:val="000000"/>
          <w:sz w:val="28"/>
          <w:szCs w:val="28"/>
          <w:shd w:val="clear" w:color="auto" w:fill="FFFFFF"/>
        </w:rPr>
        <w:t xml:space="preserve"> (дата обращения 16.04.2017)</w:t>
      </w:r>
    </w:p>
    <w:p w:rsidR="007E325E" w:rsidRDefault="00785750" w:rsidP="00E51FE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363656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Официальный сайт Министерства</w:t>
      </w:r>
      <w:r w:rsidR="00363656">
        <w:rPr>
          <w:color w:val="000000"/>
          <w:sz w:val="28"/>
          <w:szCs w:val="28"/>
          <w:shd w:val="clear" w:color="auto" w:fill="FFFFFF"/>
        </w:rPr>
        <w:t xml:space="preserve"> экономического развития РФ </w:t>
      </w:r>
      <w:r w:rsidR="00363656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363656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14" w:history="1">
        <w:r w:rsidR="00363656" w:rsidRPr="007A3E43">
          <w:rPr>
            <w:rStyle w:val="a9"/>
            <w:sz w:val="28"/>
            <w:szCs w:val="28"/>
            <w:shd w:val="clear" w:color="auto" w:fill="FFFFFF"/>
          </w:rPr>
          <w:t>http://economy.gov.ru/minec/main</w:t>
        </w:r>
      </w:hyperlink>
      <w:r w:rsidR="00363656">
        <w:rPr>
          <w:color w:val="000000"/>
          <w:sz w:val="28"/>
          <w:szCs w:val="28"/>
          <w:shd w:val="clear" w:color="auto" w:fill="FFFFFF"/>
        </w:rPr>
        <w:t xml:space="preserve"> (дата обращения 16.04.2017) </w:t>
      </w:r>
      <w:r w:rsidR="00FC0D9A">
        <w:rPr>
          <w:sz w:val="28"/>
          <w:szCs w:val="28"/>
        </w:rPr>
        <w:br/>
      </w:r>
      <w:r w:rsidR="00FC0D9A">
        <w:rPr>
          <w:sz w:val="28"/>
          <w:szCs w:val="28"/>
        </w:rPr>
        <w:br/>
      </w:r>
      <w:r w:rsidR="00FC0D9A">
        <w:rPr>
          <w:sz w:val="28"/>
          <w:szCs w:val="28"/>
        </w:rPr>
        <w:br/>
      </w:r>
      <w:r w:rsidR="00FC0D9A">
        <w:rPr>
          <w:sz w:val="28"/>
          <w:szCs w:val="28"/>
        </w:rPr>
        <w:br/>
      </w:r>
      <w:r w:rsidR="00FC0D9A">
        <w:rPr>
          <w:sz w:val="28"/>
          <w:szCs w:val="28"/>
        </w:rPr>
        <w:br/>
      </w:r>
      <w:r w:rsidR="00FC0D9A">
        <w:rPr>
          <w:sz w:val="28"/>
          <w:szCs w:val="28"/>
        </w:rPr>
        <w:br/>
      </w:r>
      <w:r w:rsidR="00FC0D9A">
        <w:rPr>
          <w:sz w:val="28"/>
          <w:szCs w:val="28"/>
        </w:rPr>
        <w:br/>
      </w:r>
    </w:p>
    <w:p w:rsidR="00FC0D9A" w:rsidRDefault="007E5F3A" w:rsidP="007E5F3A">
      <w:pPr>
        <w:tabs>
          <w:tab w:val="left" w:pos="15105"/>
          <w:tab w:val="right" w:pos="16838"/>
        </w:tabs>
        <w:spacing w:line="360" w:lineRule="auto"/>
        <w:contextualSpacing/>
        <w:rPr>
          <w:noProof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D113FF">
        <w:rPr>
          <w:noProof/>
          <w:color w:val="000000" w:themeColor="text1"/>
          <w:sz w:val="28"/>
          <w:szCs w:val="28"/>
        </w:rPr>
        <w:t xml:space="preserve">Приложение №1 </w:t>
      </w:r>
      <w:r w:rsidR="00D113F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39790" cy="2365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9A" w:rsidRDefault="00C572A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Приложение №2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16757" cy="245189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757" cy="24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9A" w:rsidRDefault="00FC0D9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p w:rsidR="00FC0D9A" w:rsidRDefault="00C572A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№3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331892" cy="3055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892" cy="30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9A" w:rsidRDefault="00C572A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№4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75135" cy="26659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135" cy="266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9A" w:rsidRDefault="00C572A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№5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156757" cy="140108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5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757" cy="140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9A" w:rsidRDefault="00C572A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№6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361081" cy="137189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081" cy="137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D9A" w:rsidRDefault="00FC0D9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p w:rsidR="00FC0D9A" w:rsidRDefault="00FC0D9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p w:rsidR="00FC0D9A" w:rsidRDefault="00FC0D9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p w:rsidR="00FC0D9A" w:rsidRDefault="00FC0D9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p w:rsidR="00FC0D9A" w:rsidRPr="00FD5B10" w:rsidRDefault="00FC0D9A" w:rsidP="007C454F">
      <w:pPr>
        <w:tabs>
          <w:tab w:val="left" w:pos="15105"/>
          <w:tab w:val="right" w:pos="16838"/>
        </w:tabs>
        <w:spacing w:line="360" w:lineRule="auto"/>
        <w:ind w:firstLine="709"/>
        <w:contextualSpacing/>
        <w:rPr>
          <w:color w:val="000000" w:themeColor="text1"/>
          <w:sz w:val="28"/>
          <w:szCs w:val="28"/>
        </w:rPr>
      </w:pPr>
    </w:p>
    <w:sectPr w:rsidR="00FC0D9A" w:rsidRPr="00FD5B10" w:rsidSect="00FD5B10">
      <w:headerReference w:type="default" r:id="rId21"/>
      <w:footerReference w:type="even" r:id="rId22"/>
      <w:footerReference w:type="default" r:id="rId23"/>
      <w:footnotePr>
        <w:numRestart w:val="eachPage"/>
      </w:footnotePr>
      <w:pgSz w:w="11906" w:h="16838"/>
      <w:pgMar w:top="1134" w:right="851" w:bottom="1134" w:left="1701" w:header="1134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C3" w:rsidRDefault="00743EC3">
      <w:r>
        <w:separator/>
      </w:r>
    </w:p>
  </w:endnote>
  <w:endnote w:type="continuationSeparator" w:id="0">
    <w:p w:rsidR="00743EC3" w:rsidRDefault="0074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EE" w:rsidRDefault="006F114C" w:rsidP="008C63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A1B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BEE" w:rsidRDefault="008A1BEE" w:rsidP="0032172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076094"/>
      <w:docPartObj>
        <w:docPartGallery w:val="Page Numbers (Bottom of Page)"/>
        <w:docPartUnique/>
      </w:docPartObj>
    </w:sdtPr>
    <w:sdtEndPr/>
    <w:sdtContent>
      <w:p w:rsidR="00FD5B10" w:rsidRDefault="004F0FD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7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A1BEE" w:rsidRPr="007F585D" w:rsidRDefault="008A1BEE" w:rsidP="007F58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C3" w:rsidRDefault="00743EC3">
      <w:r>
        <w:separator/>
      </w:r>
    </w:p>
  </w:footnote>
  <w:footnote w:type="continuationSeparator" w:id="0">
    <w:p w:rsidR="00743EC3" w:rsidRDefault="00743EC3">
      <w:r>
        <w:continuationSeparator/>
      </w:r>
    </w:p>
  </w:footnote>
  <w:footnote w:id="1">
    <w:p w:rsidR="00BF0410" w:rsidRPr="00C40453" w:rsidRDefault="00BF0410" w:rsidP="00A27768">
      <w:pPr>
        <w:pStyle w:val="af0"/>
      </w:pPr>
      <w:r>
        <w:rPr>
          <w:rStyle w:val="af2"/>
        </w:rPr>
        <w:footnoteRef/>
      </w:r>
      <w:r>
        <w:t xml:space="preserve">  См.</w:t>
      </w:r>
      <w:r w:rsidR="00C40453" w:rsidRPr="00C4045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0453" w:rsidRPr="00C40453">
        <w:t xml:space="preserve">"Таможенный кодекс Таможенного союза" (приложение к Договору о Таможенном кодексе Таможенного союза, принятому Решением Межгосударственного Совета </w:t>
      </w:r>
      <w:proofErr w:type="spellStart"/>
      <w:r w:rsidR="00C40453" w:rsidRPr="00C40453">
        <w:t>ЕврАзЭС</w:t>
      </w:r>
      <w:proofErr w:type="spellEnd"/>
      <w:r w:rsidR="00C40453" w:rsidRPr="00C40453">
        <w:t xml:space="preserve"> на уровне глав государств от 27.11.2009 N 17) (ред. от 08.05.2015) // СПС Консультант Плюс </w:t>
      </w:r>
    </w:p>
  </w:footnote>
  <w:footnote w:id="2">
    <w:p w:rsidR="00BF0410" w:rsidRPr="00C40453" w:rsidRDefault="00BF0410" w:rsidP="00A27768">
      <w:pPr>
        <w:pStyle w:val="af0"/>
      </w:pPr>
      <w:r>
        <w:rPr>
          <w:rStyle w:val="af2"/>
        </w:rPr>
        <w:footnoteRef/>
      </w:r>
      <w:r>
        <w:t xml:space="preserve"> </w:t>
      </w:r>
      <w:r w:rsidR="00C40453">
        <w:t xml:space="preserve">См </w:t>
      </w:r>
      <w:r w:rsidR="00C40453" w:rsidRPr="00C40453">
        <w:t xml:space="preserve">"Таможенный кодекс Таможенного союза" (приложение к Договору о Таможенном кодексе Таможенного союза, принятому Решением Межгосударственного Совета </w:t>
      </w:r>
      <w:proofErr w:type="spellStart"/>
      <w:r w:rsidR="00C40453" w:rsidRPr="00C40453">
        <w:t>ЕврАзЭС</w:t>
      </w:r>
      <w:proofErr w:type="spellEnd"/>
      <w:r w:rsidR="00C40453" w:rsidRPr="00C40453">
        <w:t xml:space="preserve"> на уровне глав государств от 27.11.2009 N 17) (ред. от 08.05.2015) // СПС Консультант Плюс </w:t>
      </w:r>
    </w:p>
  </w:footnote>
  <w:footnote w:id="3">
    <w:p w:rsidR="00BF0410" w:rsidRPr="00E60DFC" w:rsidRDefault="00BF0410">
      <w:pPr>
        <w:pStyle w:val="af0"/>
      </w:pPr>
      <w:r>
        <w:rPr>
          <w:rStyle w:val="af2"/>
        </w:rPr>
        <w:footnoteRef/>
      </w:r>
      <w:r w:rsidRPr="00E60DFC">
        <w:t xml:space="preserve"> </w:t>
      </w:r>
      <w:r w:rsidR="00C40453">
        <w:t xml:space="preserve">См: </w:t>
      </w:r>
      <w:r w:rsidR="00C40453" w:rsidRPr="00C40453">
        <w:t xml:space="preserve">"Таможенный кодекс Таможенного союза" (приложение к Договору о Таможенном кодексе Таможенного союза, принятому Решением Межгосударственного Совета </w:t>
      </w:r>
      <w:proofErr w:type="spellStart"/>
      <w:r w:rsidR="00C40453" w:rsidRPr="00C40453">
        <w:t>ЕврАзЭС</w:t>
      </w:r>
      <w:proofErr w:type="spellEnd"/>
      <w:r w:rsidR="00C40453" w:rsidRPr="00C40453">
        <w:t xml:space="preserve"> на уровне глав государств от 27.11.2009 N 17) (ред. от 08.05.2015) // СПС Консультант Плюс </w:t>
      </w:r>
    </w:p>
  </w:footnote>
  <w:footnote w:id="4">
    <w:p w:rsidR="00C40453" w:rsidRPr="00E60DFC" w:rsidRDefault="00E60DFC" w:rsidP="00C40453">
      <w:pPr>
        <w:pStyle w:val="af0"/>
      </w:pPr>
      <w:r>
        <w:rPr>
          <w:rStyle w:val="af2"/>
        </w:rPr>
        <w:footnoteRef/>
      </w:r>
      <w:r>
        <w:t xml:space="preserve"> </w:t>
      </w:r>
      <w:r w:rsidR="00C40453" w:rsidRPr="00C40453">
        <w:t>Федеральный закон Российской Федерации от 08.12.2003 N 164-ФЗ (ред. от 13.07.2015) "Об основах государственного регулирования внешнеторговой деятельности" // СПС Консультант Плюс</w:t>
      </w:r>
    </w:p>
    <w:p w:rsidR="00E60DFC" w:rsidRPr="00E60DFC" w:rsidRDefault="00E60DFC" w:rsidP="00E60DFC">
      <w:pPr>
        <w:pStyle w:val="af0"/>
      </w:pPr>
    </w:p>
  </w:footnote>
  <w:footnote w:id="5">
    <w:p w:rsidR="00E60DFC" w:rsidRPr="00E60DFC" w:rsidRDefault="00E60DFC">
      <w:pPr>
        <w:pStyle w:val="af0"/>
      </w:pPr>
      <w:r>
        <w:rPr>
          <w:rStyle w:val="af2"/>
        </w:rPr>
        <w:footnoteRef/>
      </w:r>
      <w:r>
        <w:t xml:space="preserve"> </w:t>
      </w:r>
      <w:r w:rsidR="00C40453" w:rsidRPr="00C40453">
        <w:t>Закон Республики Беларусь от 25.11.2004 №347-З "О государственном регулировании внешнеторговой деятельности"// Национальный правовой Интернет-портал Республики Беларусь </w:t>
      </w:r>
    </w:p>
  </w:footnote>
  <w:footnote w:id="6">
    <w:p w:rsidR="00E60DFC" w:rsidRDefault="00E60DFC">
      <w:pPr>
        <w:pStyle w:val="af0"/>
      </w:pPr>
      <w:r>
        <w:rPr>
          <w:rStyle w:val="af2"/>
        </w:rPr>
        <w:footnoteRef/>
      </w:r>
      <w:r>
        <w:t xml:space="preserve"> </w:t>
      </w:r>
      <w:r w:rsidR="00C40453" w:rsidRPr="00C40453">
        <w:t>Закон Республики Казахстан от 12 апреля 2004 года №544 "О регулировании торговой деятельности" // Информационная система Параграф</w:t>
      </w:r>
    </w:p>
  </w:footnote>
  <w:footnote w:id="7">
    <w:p w:rsidR="00E60DFC" w:rsidRPr="00A117DC" w:rsidRDefault="00E60DFC" w:rsidP="00E60DFC">
      <w:pPr>
        <w:pStyle w:val="af0"/>
      </w:pPr>
      <w:r>
        <w:rPr>
          <w:rStyle w:val="af2"/>
        </w:rPr>
        <w:footnoteRef/>
      </w:r>
      <w:r>
        <w:t xml:space="preserve"> </w:t>
      </w:r>
      <w:r w:rsidR="00A117DC" w:rsidRPr="00A117DC">
        <w:t>Закон Кыргызской Республики от 2 июля 1997 года № 41 "О государственном регулировании внешнеторговой деятельности в Кыргызской Республике" // Централизованный банк данных правовой информации Кыргызской Республики</w:t>
      </w:r>
    </w:p>
  </w:footnote>
  <w:footnote w:id="8">
    <w:p w:rsidR="00E60DFC" w:rsidRPr="00496701" w:rsidRDefault="00E60DFC" w:rsidP="00E60DFC">
      <w:pPr>
        <w:pStyle w:val="af0"/>
      </w:pPr>
      <w:r>
        <w:rPr>
          <w:rStyle w:val="af2"/>
        </w:rPr>
        <w:footnoteRef/>
      </w:r>
      <w:r>
        <w:t xml:space="preserve"> </w:t>
      </w:r>
      <w:r w:rsidR="00A117DC" w:rsidRPr="00A117DC">
        <w:t xml:space="preserve">Закон Республики Армения от 30 декабря 2014 года №ЗР-241"О таможенном регулировании" // Информационная система Законодательство </w:t>
      </w:r>
      <w:r w:rsidR="00C40453">
        <w:t xml:space="preserve"> </w:t>
      </w:r>
      <w:r w:rsidR="00A117DC" w:rsidRPr="00A117DC">
        <w:t>стран</w:t>
      </w:r>
      <w:r w:rsidR="00C40453">
        <w:t xml:space="preserve"> СНГ</w:t>
      </w:r>
      <w:r w:rsidR="00A117DC">
        <w:t xml:space="preserve"> </w:t>
      </w:r>
    </w:p>
  </w:footnote>
  <w:footnote w:id="9">
    <w:p w:rsidR="00496701" w:rsidRPr="004541DF" w:rsidRDefault="00496701">
      <w:pPr>
        <w:pStyle w:val="af0"/>
        <w:rPr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="00E460B4">
        <w:t xml:space="preserve">Официальный сайт </w:t>
      </w:r>
      <w:r w:rsidRPr="00496701">
        <w:t>Департамента по социальным и экономическим вопросам Организации Объединенных Наций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1" w:history="1">
        <w:r w:rsidR="00E460B4" w:rsidRPr="00AD0937">
          <w:rPr>
            <w:rStyle w:val="a9"/>
          </w:rPr>
          <w:t>https://www.un.org/development/desa/ru/</w:t>
        </w:r>
      </w:hyperlink>
      <w:r w:rsidR="00E460B4">
        <w:t xml:space="preserve"> (дата обращен</w:t>
      </w:r>
      <w:r w:rsidR="009E5B96">
        <w:t>ия 16</w:t>
      </w:r>
      <w:r w:rsidR="00E460B4">
        <w:t>.04.2017)</w:t>
      </w:r>
    </w:p>
  </w:footnote>
  <w:footnote w:id="10">
    <w:p w:rsidR="00363656" w:rsidRPr="00363656" w:rsidRDefault="00363656">
      <w:pPr>
        <w:pStyle w:val="af0"/>
      </w:pPr>
      <w:r>
        <w:rPr>
          <w:rStyle w:val="af2"/>
        </w:rPr>
        <w:footnoteRef/>
      </w:r>
      <w:r>
        <w:t xml:space="preserve"> Официальный сайт Министерства экономического развития РФ </w:t>
      </w:r>
      <w:r>
        <w:rPr>
          <w:lang w:val="en-US"/>
        </w:rPr>
        <w:t>URL</w:t>
      </w:r>
      <w:r>
        <w:t xml:space="preserve">: </w:t>
      </w:r>
      <w:hyperlink r:id="rId2" w:history="1">
        <w:r w:rsidRPr="007A3E43">
          <w:rPr>
            <w:rStyle w:val="a9"/>
          </w:rPr>
          <w:t>http://economy.gov.ru/minec/main</w:t>
        </w:r>
      </w:hyperlink>
      <w:r>
        <w:t xml:space="preserve"> (дата обращения 16.04.2017)</w:t>
      </w:r>
    </w:p>
  </w:footnote>
  <w:footnote w:id="11">
    <w:p w:rsidR="00861C74" w:rsidRDefault="00861C74">
      <w:pPr>
        <w:pStyle w:val="af0"/>
      </w:pPr>
      <w:r>
        <w:rPr>
          <w:rStyle w:val="af2"/>
        </w:rPr>
        <w:footnoteRef/>
      </w:r>
      <w:r>
        <w:t xml:space="preserve"> </w:t>
      </w:r>
      <w:r w:rsidRPr="00861C74">
        <w:t>Основные направления развития «Единого окна» в системе регулирования внешнеэкономической деятельности</w:t>
      </w:r>
      <w:r w:rsidR="00CF05DD">
        <w:t xml:space="preserve"> //</w:t>
      </w:r>
      <w:r w:rsidR="002525D7">
        <w:t xml:space="preserve">Официальный сайт ЕЭК </w:t>
      </w:r>
      <w:r>
        <w:t xml:space="preserve"> </w:t>
      </w:r>
      <w:r>
        <w:rPr>
          <w:lang w:val="en-US"/>
        </w:rPr>
        <w:t>URL</w:t>
      </w:r>
      <w:r w:rsidR="009E5B96">
        <w:t xml:space="preserve">: </w:t>
      </w:r>
      <w:hyperlink r:id="rId3" w:history="1">
        <w:r w:rsidR="002525D7" w:rsidRPr="00AD0937">
          <w:rPr>
            <w:rStyle w:val="a9"/>
          </w:rPr>
          <w:t>http://www.eurasiancommission.org/ru/act/tam_sotr/Pages/mdsw.aspx</w:t>
        </w:r>
      </w:hyperlink>
      <w:r w:rsidR="002525D7">
        <w:t xml:space="preserve"> (дата обращения 16.04.2017)</w:t>
      </w:r>
    </w:p>
  </w:footnote>
  <w:footnote w:id="12">
    <w:p w:rsidR="00861C74" w:rsidRDefault="00861C74">
      <w:pPr>
        <w:pStyle w:val="af0"/>
      </w:pPr>
      <w:r>
        <w:rPr>
          <w:rStyle w:val="af2"/>
        </w:rPr>
        <w:footnoteRef/>
      </w:r>
      <w:r>
        <w:t xml:space="preserve"> </w:t>
      </w:r>
      <w:r w:rsidRPr="00861C74">
        <w:t xml:space="preserve">Попов В. В., </w:t>
      </w:r>
      <w:proofErr w:type="spellStart"/>
      <w:r w:rsidRPr="00861C74">
        <w:t>Нефёдова</w:t>
      </w:r>
      <w:proofErr w:type="spellEnd"/>
      <w:r w:rsidRPr="00861C74">
        <w:t xml:space="preserve"> Я. М. Экономико-статистический анализ внешнеторгового оборота государств-членов ЕАЭС // Молодой ученый. — 2017. — №5. — С. 226-231.</w:t>
      </w:r>
      <w:r>
        <w:t xml:space="preserve"> </w:t>
      </w:r>
    </w:p>
  </w:footnote>
  <w:footnote w:id="13">
    <w:p w:rsidR="00FC18B8" w:rsidRDefault="00FC18B8">
      <w:pPr>
        <w:pStyle w:val="af0"/>
      </w:pPr>
      <w:r>
        <w:rPr>
          <w:rStyle w:val="af2"/>
        </w:rPr>
        <w:footnoteRef/>
      </w:r>
      <w:r>
        <w:t xml:space="preserve"> </w:t>
      </w:r>
      <w:r w:rsidRPr="00FC18B8">
        <w:t xml:space="preserve">Шелковый путь нашего времени: как Россия и Китай создают евразийскую экономику // Информационное агентство России </w:t>
      </w:r>
      <w:r w:rsidRPr="00FC18B8">
        <w:rPr>
          <w:lang w:val="en-US"/>
        </w:rPr>
        <w:t>URL</w:t>
      </w:r>
      <w:r w:rsidRPr="00FC18B8">
        <w:t xml:space="preserve">: </w:t>
      </w:r>
      <w:hyperlink r:id="rId4" w:history="1">
        <w:r w:rsidRPr="00FC18B8">
          <w:rPr>
            <w:rStyle w:val="a9"/>
          </w:rPr>
          <w:t>http://tass.ru/politika/1956892</w:t>
        </w:r>
      </w:hyperlink>
      <w:r w:rsidRPr="00FC18B8">
        <w:t xml:space="preserve"> (дата обращения 16.04.2017)</w:t>
      </w:r>
    </w:p>
  </w:footnote>
  <w:footnote w:id="14">
    <w:p w:rsidR="00333E54" w:rsidRDefault="00333E54">
      <w:pPr>
        <w:pStyle w:val="af0"/>
      </w:pPr>
      <w:r>
        <w:rPr>
          <w:rStyle w:val="af2"/>
        </w:rPr>
        <w:footnoteRef/>
      </w:r>
      <w:r>
        <w:t xml:space="preserve"> </w:t>
      </w:r>
      <w:r w:rsidRPr="00333E54">
        <w:t>Об итогах внешней торговли товарами Евразийского экономического союза</w:t>
      </w:r>
      <w:r w:rsidR="002525D7">
        <w:t xml:space="preserve"> //Аналитический обзор ЕЭК URL:</w:t>
      </w:r>
      <w:r w:rsidRPr="00333E54">
        <w:t>http://www.eurasiancommission.org/ru/act/integr_i_makroec/dep_stat/tradestat/analytics/Documents/Analytics_E_201602.pdf (дата обращения 16.04.2017)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DF" w:rsidRDefault="00D370DF">
    <w:pPr>
      <w:pStyle w:val="ab"/>
    </w:pPr>
  </w:p>
  <w:p w:rsidR="00C16AFF" w:rsidRDefault="00C16AFF" w:rsidP="002E79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380"/>
    <w:multiLevelType w:val="hybridMultilevel"/>
    <w:tmpl w:val="619AD9C2"/>
    <w:lvl w:ilvl="0" w:tplc="54E652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065"/>
    <w:multiLevelType w:val="hybridMultilevel"/>
    <w:tmpl w:val="1D327A7A"/>
    <w:lvl w:ilvl="0" w:tplc="D9FACD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DD5CDD"/>
    <w:multiLevelType w:val="multilevel"/>
    <w:tmpl w:val="C54A1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1D004FB5"/>
    <w:multiLevelType w:val="hybridMultilevel"/>
    <w:tmpl w:val="1AD4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5408E"/>
    <w:multiLevelType w:val="hybridMultilevel"/>
    <w:tmpl w:val="BAF85270"/>
    <w:lvl w:ilvl="0" w:tplc="418E32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B969CA"/>
    <w:multiLevelType w:val="multilevel"/>
    <w:tmpl w:val="8D1AA2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FE1285A"/>
    <w:multiLevelType w:val="hybridMultilevel"/>
    <w:tmpl w:val="566E2814"/>
    <w:lvl w:ilvl="0" w:tplc="CF5A2E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A3054DC">
      <w:start w:val="1"/>
      <w:numFmt w:val="decimal"/>
      <w:isLgl/>
      <w:lvlText w:val="%2.%2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2" w:tplc="0B0E778C">
      <w:numFmt w:val="none"/>
      <w:lvlText w:val=""/>
      <w:lvlJc w:val="left"/>
      <w:pPr>
        <w:tabs>
          <w:tab w:val="num" w:pos="360"/>
        </w:tabs>
      </w:pPr>
    </w:lvl>
    <w:lvl w:ilvl="3" w:tplc="C17AFCD6">
      <w:numFmt w:val="none"/>
      <w:lvlText w:val=""/>
      <w:lvlJc w:val="left"/>
      <w:pPr>
        <w:tabs>
          <w:tab w:val="num" w:pos="360"/>
        </w:tabs>
      </w:pPr>
    </w:lvl>
    <w:lvl w:ilvl="4" w:tplc="37B45EB8">
      <w:numFmt w:val="none"/>
      <w:lvlText w:val=""/>
      <w:lvlJc w:val="left"/>
      <w:pPr>
        <w:tabs>
          <w:tab w:val="num" w:pos="360"/>
        </w:tabs>
      </w:pPr>
    </w:lvl>
    <w:lvl w:ilvl="5" w:tplc="4676955C">
      <w:numFmt w:val="none"/>
      <w:lvlText w:val=""/>
      <w:lvlJc w:val="left"/>
      <w:pPr>
        <w:tabs>
          <w:tab w:val="num" w:pos="360"/>
        </w:tabs>
      </w:pPr>
    </w:lvl>
    <w:lvl w:ilvl="6" w:tplc="51FCC5EC">
      <w:numFmt w:val="none"/>
      <w:lvlText w:val=""/>
      <w:lvlJc w:val="left"/>
      <w:pPr>
        <w:tabs>
          <w:tab w:val="num" w:pos="360"/>
        </w:tabs>
      </w:pPr>
    </w:lvl>
    <w:lvl w:ilvl="7" w:tplc="76C86D26">
      <w:numFmt w:val="none"/>
      <w:lvlText w:val=""/>
      <w:lvlJc w:val="left"/>
      <w:pPr>
        <w:tabs>
          <w:tab w:val="num" w:pos="360"/>
        </w:tabs>
      </w:pPr>
    </w:lvl>
    <w:lvl w:ilvl="8" w:tplc="D5A4811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32B62FC"/>
    <w:multiLevelType w:val="hybridMultilevel"/>
    <w:tmpl w:val="16FC40CE"/>
    <w:lvl w:ilvl="0" w:tplc="0B447ABC">
      <w:start w:val="5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AE6108"/>
    <w:multiLevelType w:val="hybridMultilevel"/>
    <w:tmpl w:val="7DBC338E"/>
    <w:lvl w:ilvl="0" w:tplc="E58CC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531138"/>
    <w:multiLevelType w:val="hybridMultilevel"/>
    <w:tmpl w:val="AE5EF0EA"/>
    <w:lvl w:ilvl="0" w:tplc="D9FACD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5A0BDF"/>
    <w:multiLevelType w:val="hybridMultilevel"/>
    <w:tmpl w:val="192607F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A5E770C"/>
    <w:multiLevelType w:val="hybridMultilevel"/>
    <w:tmpl w:val="DAFE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5F4A1E"/>
    <w:multiLevelType w:val="hybridMultilevel"/>
    <w:tmpl w:val="99D62118"/>
    <w:lvl w:ilvl="0" w:tplc="860E69F6">
      <w:start w:val="14"/>
      <w:numFmt w:val="decimal"/>
      <w:lvlText w:val="%1."/>
      <w:lvlJc w:val="left"/>
      <w:pPr>
        <w:ind w:left="3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3">
    <w:nsid w:val="456D2A0A"/>
    <w:multiLevelType w:val="hybridMultilevel"/>
    <w:tmpl w:val="60EA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722B8"/>
    <w:multiLevelType w:val="hybridMultilevel"/>
    <w:tmpl w:val="7DBC338E"/>
    <w:lvl w:ilvl="0" w:tplc="E58CC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5772C"/>
    <w:multiLevelType w:val="hybridMultilevel"/>
    <w:tmpl w:val="42B6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D3247"/>
    <w:multiLevelType w:val="hybridMultilevel"/>
    <w:tmpl w:val="C290C9A2"/>
    <w:lvl w:ilvl="0" w:tplc="D1403D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E986DBD"/>
    <w:multiLevelType w:val="hybridMultilevel"/>
    <w:tmpl w:val="B4B0680E"/>
    <w:lvl w:ilvl="0" w:tplc="2E665F48">
      <w:start w:val="7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15"/>
  </w:num>
  <w:num w:numId="12">
    <w:abstractNumId w:val="3"/>
  </w:num>
  <w:num w:numId="13">
    <w:abstractNumId w:val="0"/>
  </w:num>
  <w:num w:numId="14">
    <w:abstractNumId w:val="7"/>
  </w:num>
  <w:num w:numId="15">
    <w:abstractNumId w:val="17"/>
  </w:num>
  <w:num w:numId="16">
    <w:abstractNumId w:val="12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641"/>
    <w:rsid w:val="000020D4"/>
    <w:rsid w:val="00003DA0"/>
    <w:rsid w:val="000217EC"/>
    <w:rsid w:val="00023192"/>
    <w:rsid w:val="0002388D"/>
    <w:rsid w:val="00024126"/>
    <w:rsid w:val="000345C7"/>
    <w:rsid w:val="00045BDA"/>
    <w:rsid w:val="00055863"/>
    <w:rsid w:val="000737A8"/>
    <w:rsid w:val="00074F07"/>
    <w:rsid w:val="00090246"/>
    <w:rsid w:val="00092849"/>
    <w:rsid w:val="000A4CB0"/>
    <w:rsid w:val="000C6958"/>
    <w:rsid w:val="000D1AB8"/>
    <w:rsid w:val="000D4802"/>
    <w:rsid w:val="000D6A26"/>
    <w:rsid w:val="000E0AA0"/>
    <w:rsid w:val="000E372A"/>
    <w:rsid w:val="00101B54"/>
    <w:rsid w:val="00117452"/>
    <w:rsid w:val="00124C3E"/>
    <w:rsid w:val="00132E47"/>
    <w:rsid w:val="00136F32"/>
    <w:rsid w:val="001402D3"/>
    <w:rsid w:val="00144BFD"/>
    <w:rsid w:val="00151BA2"/>
    <w:rsid w:val="00151FC9"/>
    <w:rsid w:val="001554F0"/>
    <w:rsid w:val="00156D25"/>
    <w:rsid w:val="001572E6"/>
    <w:rsid w:val="00161F63"/>
    <w:rsid w:val="001633F5"/>
    <w:rsid w:val="00165796"/>
    <w:rsid w:val="001671BE"/>
    <w:rsid w:val="00171B3A"/>
    <w:rsid w:val="00174982"/>
    <w:rsid w:val="00190AD4"/>
    <w:rsid w:val="001B452F"/>
    <w:rsid w:val="001D0888"/>
    <w:rsid w:val="001D3451"/>
    <w:rsid w:val="001E2A71"/>
    <w:rsid w:val="001E37F1"/>
    <w:rsid w:val="001F5D22"/>
    <w:rsid w:val="001F77C0"/>
    <w:rsid w:val="00210B95"/>
    <w:rsid w:val="0021787E"/>
    <w:rsid w:val="0022288D"/>
    <w:rsid w:val="002235C7"/>
    <w:rsid w:val="002276D4"/>
    <w:rsid w:val="00243BC0"/>
    <w:rsid w:val="00243E56"/>
    <w:rsid w:val="002466A4"/>
    <w:rsid w:val="002502AD"/>
    <w:rsid w:val="002525D7"/>
    <w:rsid w:val="002557A0"/>
    <w:rsid w:val="00261587"/>
    <w:rsid w:val="00286457"/>
    <w:rsid w:val="00292EFC"/>
    <w:rsid w:val="002B30A6"/>
    <w:rsid w:val="002B7F5D"/>
    <w:rsid w:val="002C2286"/>
    <w:rsid w:val="002D1641"/>
    <w:rsid w:val="002D3F6C"/>
    <w:rsid w:val="002E7905"/>
    <w:rsid w:val="002F7CEF"/>
    <w:rsid w:val="0030012F"/>
    <w:rsid w:val="0030357E"/>
    <w:rsid w:val="0032172E"/>
    <w:rsid w:val="00322314"/>
    <w:rsid w:val="003272B0"/>
    <w:rsid w:val="00333E54"/>
    <w:rsid w:val="00336A11"/>
    <w:rsid w:val="00343DA0"/>
    <w:rsid w:val="00346D83"/>
    <w:rsid w:val="00354DDD"/>
    <w:rsid w:val="00356AF0"/>
    <w:rsid w:val="00363656"/>
    <w:rsid w:val="00363CEF"/>
    <w:rsid w:val="00371EC6"/>
    <w:rsid w:val="0037746C"/>
    <w:rsid w:val="00392F4B"/>
    <w:rsid w:val="003D3E82"/>
    <w:rsid w:val="0041029F"/>
    <w:rsid w:val="00413F1E"/>
    <w:rsid w:val="00421E8C"/>
    <w:rsid w:val="00422DD1"/>
    <w:rsid w:val="00426AE0"/>
    <w:rsid w:val="004419F8"/>
    <w:rsid w:val="004458E1"/>
    <w:rsid w:val="00451118"/>
    <w:rsid w:val="004541DF"/>
    <w:rsid w:val="0048220A"/>
    <w:rsid w:val="00493C17"/>
    <w:rsid w:val="00496701"/>
    <w:rsid w:val="00497574"/>
    <w:rsid w:val="004A13AC"/>
    <w:rsid w:val="004A33F0"/>
    <w:rsid w:val="004A60E2"/>
    <w:rsid w:val="004B3D8A"/>
    <w:rsid w:val="004D049B"/>
    <w:rsid w:val="004D12F9"/>
    <w:rsid w:val="004D2406"/>
    <w:rsid w:val="004D2BF4"/>
    <w:rsid w:val="004D462E"/>
    <w:rsid w:val="004F0FD0"/>
    <w:rsid w:val="004F36B1"/>
    <w:rsid w:val="00512916"/>
    <w:rsid w:val="005220A4"/>
    <w:rsid w:val="00527B40"/>
    <w:rsid w:val="005360CA"/>
    <w:rsid w:val="005437F8"/>
    <w:rsid w:val="00544A10"/>
    <w:rsid w:val="00570EBC"/>
    <w:rsid w:val="0059361E"/>
    <w:rsid w:val="005964C5"/>
    <w:rsid w:val="005A1EE6"/>
    <w:rsid w:val="005A44B0"/>
    <w:rsid w:val="005A69C6"/>
    <w:rsid w:val="005B0162"/>
    <w:rsid w:val="005B35D1"/>
    <w:rsid w:val="005D21BC"/>
    <w:rsid w:val="005D3543"/>
    <w:rsid w:val="005D3F85"/>
    <w:rsid w:val="005D61E6"/>
    <w:rsid w:val="005E4D33"/>
    <w:rsid w:val="005F1F22"/>
    <w:rsid w:val="005F2F07"/>
    <w:rsid w:val="00624392"/>
    <w:rsid w:val="00626F81"/>
    <w:rsid w:val="00626FBD"/>
    <w:rsid w:val="00655752"/>
    <w:rsid w:val="0066055B"/>
    <w:rsid w:val="006612AA"/>
    <w:rsid w:val="00662F60"/>
    <w:rsid w:val="0067118F"/>
    <w:rsid w:val="00676B12"/>
    <w:rsid w:val="00690EFA"/>
    <w:rsid w:val="006A76BA"/>
    <w:rsid w:val="006B1C6D"/>
    <w:rsid w:val="006C022B"/>
    <w:rsid w:val="006C04EF"/>
    <w:rsid w:val="006C0A3C"/>
    <w:rsid w:val="006C2878"/>
    <w:rsid w:val="006C5C4E"/>
    <w:rsid w:val="006C7B1D"/>
    <w:rsid w:val="006D127C"/>
    <w:rsid w:val="006D65B0"/>
    <w:rsid w:val="006E2275"/>
    <w:rsid w:val="006F114C"/>
    <w:rsid w:val="006F5D2C"/>
    <w:rsid w:val="007103FC"/>
    <w:rsid w:val="00711297"/>
    <w:rsid w:val="00711FFA"/>
    <w:rsid w:val="00712054"/>
    <w:rsid w:val="00717E3D"/>
    <w:rsid w:val="00723CF4"/>
    <w:rsid w:val="00735EE0"/>
    <w:rsid w:val="00743EC3"/>
    <w:rsid w:val="00753AF2"/>
    <w:rsid w:val="0075522D"/>
    <w:rsid w:val="0076678C"/>
    <w:rsid w:val="00783F53"/>
    <w:rsid w:val="00785750"/>
    <w:rsid w:val="007957D8"/>
    <w:rsid w:val="007A37D4"/>
    <w:rsid w:val="007B2754"/>
    <w:rsid w:val="007C454F"/>
    <w:rsid w:val="007E305F"/>
    <w:rsid w:val="007E325E"/>
    <w:rsid w:val="007E5F3A"/>
    <w:rsid w:val="007E7ABB"/>
    <w:rsid w:val="007F585D"/>
    <w:rsid w:val="0080050D"/>
    <w:rsid w:val="008104B3"/>
    <w:rsid w:val="00822862"/>
    <w:rsid w:val="00837B49"/>
    <w:rsid w:val="00840E4D"/>
    <w:rsid w:val="008505DA"/>
    <w:rsid w:val="00856693"/>
    <w:rsid w:val="00861057"/>
    <w:rsid w:val="00861C74"/>
    <w:rsid w:val="00862E89"/>
    <w:rsid w:val="008640E6"/>
    <w:rsid w:val="008A1BEE"/>
    <w:rsid w:val="008C6211"/>
    <w:rsid w:val="008C637E"/>
    <w:rsid w:val="008D08FB"/>
    <w:rsid w:val="008D78BB"/>
    <w:rsid w:val="008F15DE"/>
    <w:rsid w:val="00901BFA"/>
    <w:rsid w:val="00916B2C"/>
    <w:rsid w:val="00924548"/>
    <w:rsid w:val="00944ED1"/>
    <w:rsid w:val="009457DC"/>
    <w:rsid w:val="00960017"/>
    <w:rsid w:val="00971113"/>
    <w:rsid w:val="009750AA"/>
    <w:rsid w:val="00990D43"/>
    <w:rsid w:val="00993825"/>
    <w:rsid w:val="009950A9"/>
    <w:rsid w:val="00996AC8"/>
    <w:rsid w:val="009C5EE2"/>
    <w:rsid w:val="009C7C19"/>
    <w:rsid w:val="009E5B96"/>
    <w:rsid w:val="009F60BA"/>
    <w:rsid w:val="00A004EE"/>
    <w:rsid w:val="00A02E27"/>
    <w:rsid w:val="00A06B23"/>
    <w:rsid w:val="00A117DC"/>
    <w:rsid w:val="00A27768"/>
    <w:rsid w:val="00A4023A"/>
    <w:rsid w:val="00A43C20"/>
    <w:rsid w:val="00A45493"/>
    <w:rsid w:val="00A526B0"/>
    <w:rsid w:val="00A53D2A"/>
    <w:rsid w:val="00A578B8"/>
    <w:rsid w:val="00A618A0"/>
    <w:rsid w:val="00A64321"/>
    <w:rsid w:val="00A660FC"/>
    <w:rsid w:val="00A72165"/>
    <w:rsid w:val="00A74E5A"/>
    <w:rsid w:val="00A77F22"/>
    <w:rsid w:val="00A80E74"/>
    <w:rsid w:val="00A86A82"/>
    <w:rsid w:val="00A920E9"/>
    <w:rsid w:val="00A965F6"/>
    <w:rsid w:val="00A9661B"/>
    <w:rsid w:val="00AA273B"/>
    <w:rsid w:val="00AA719F"/>
    <w:rsid w:val="00AB011C"/>
    <w:rsid w:val="00AC4756"/>
    <w:rsid w:val="00AF1C7C"/>
    <w:rsid w:val="00AF33A0"/>
    <w:rsid w:val="00AF54C7"/>
    <w:rsid w:val="00AF62F2"/>
    <w:rsid w:val="00AF727D"/>
    <w:rsid w:val="00B03221"/>
    <w:rsid w:val="00B237DF"/>
    <w:rsid w:val="00B41C65"/>
    <w:rsid w:val="00B46CE0"/>
    <w:rsid w:val="00B5620E"/>
    <w:rsid w:val="00B606C5"/>
    <w:rsid w:val="00B70560"/>
    <w:rsid w:val="00B76591"/>
    <w:rsid w:val="00B862A0"/>
    <w:rsid w:val="00B92379"/>
    <w:rsid w:val="00BA2391"/>
    <w:rsid w:val="00BB20C6"/>
    <w:rsid w:val="00BC6C68"/>
    <w:rsid w:val="00BD7919"/>
    <w:rsid w:val="00BE02FF"/>
    <w:rsid w:val="00BE408D"/>
    <w:rsid w:val="00BF0410"/>
    <w:rsid w:val="00BF4B0F"/>
    <w:rsid w:val="00C0205A"/>
    <w:rsid w:val="00C16AFF"/>
    <w:rsid w:val="00C22988"/>
    <w:rsid w:val="00C32D4D"/>
    <w:rsid w:val="00C377C6"/>
    <w:rsid w:val="00C40453"/>
    <w:rsid w:val="00C45A41"/>
    <w:rsid w:val="00C525DF"/>
    <w:rsid w:val="00C53344"/>
    <w:rsid w:val="00C55387"/>
    <w:rsid w:val="00C572AA"/>
    <w:rsid w:val="00C6036B"/>
    <w:rsid w:val="00C7264C"/>
    <w:rsid w:val="00C7543C"/>
    <w:rsid w:val="00C77C89"/>
    <w:rsid w:val="00C92F3F"/>
    <w:rsid w:val="00C93262"/>
    <w:rsid w:val="00C9360F"/>
    <w:rsid w:val="00CC0C1C"/>
    <w:rsid w:val="00CC7B22"/>
    <w:rsid w:val="00CD13E1"/>
    <w:rsid w:val="00CD5425"/>
    <w:rsid w:val="00CD5DA9"/>
    <w:rsid w:val="00CF05DD"/>
    <w:rsid w:val="00CF06D5"/>
    <w:rsid w:val="00D113FF"/>
    <w:rsid w:val="00D12E73"/>
    <w:rsid w:val="00D132A9"/>
    <w:rsid w:val="00D1405D"/>
    <w:rsid w:val="00D370DF"/>
    <w:rsid w:val="00D570E7"/>
    <w:rsid w:val="00D5734F"/>
    <w:rsid w:val="00D65187"/>
    <w:rsid w:val="00D71039"/>
    <w:rsid w:val="00D76014"/>
    <w:rsid w:val="00D9081A"/>
    <w:rsid w:val="00DA35A4"/>
    <w:rsid w:val="00DA5B2D"/>
    <w:rsid w:val="00DB6744"/>
    <w:rsid w:val="00DD11ED"/>
    <w:rsid w:val="00DD422D"/>
    <w:rsid w:val="00DD62C3"/>
    <w:rsid w:val="00DD6637"/>
    <w:rsid w:val="00DD7D76"/>
    <w:rsid w:val="00E04DEA"/>
    <w:rsid w:val="00E17A0D"/>
    <w:rsid w:val="00E22A6C"/>
    <w:rsid w:val="00E35EA4"/>
    <w:rsid w:val="00E460B4"/>
    <w:rsid w:val="00E46F2C"/>
    <w:rsid w:val="00E51FEF"/>
    <w:rsid w:val="00E57073"/>
    <w:rsid w:val="00E60DFC"/>
    <w:rsid w:val="00E6368F"/>
    <w:rsid w:val="00E81A60"/>
    <w:rsid w:val="00E9756E"/>
    <w:rsid w:val="00EC708B"/>
    <w:rsid w:val="00ED0605"/>
    <w:rsid w:val="00EE31AC"/>
    <w:rsid w:val="00F0011A"/>
    <w:rsid w:val="00F045A2"/>
    <w:rsid w:val="00F11B4F"/>
    <w:rsid w:val="00F22858"/>
    <w:rsid w:val="00F2597B"/>
    <w:rsid w:val="00F513C0"/>
    <w:rsid w:val="00F532FF"/>
    <w:rsid w:val="00F63AB7"/>
    <w:rsid w:val="00F64CD3"/>
    <w:rsid w:val="00F65D60"/>
    <w:rsid w:val="00FB1447"/>
    <w:rsid w:val="00FC0D9A"/>
    <w:rsid w:val="00FC18B8"/>
    <w:rsid w:val="00FC384E"/>
    <w:rsid w:val="00FC775F"/>
    <w:rsid w:val="00FD097E"/>
    <w:rsid w:val="00FD5B10"/>
    <w:rsid w:val="00FE04FD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41"/>
    <w:rPr>
      <w:sz w:val="24"/>
      <w:szCs w:val="24"/>
    </w:rPr>
  </w:style>
  <w:style w:type="paragraph" w:styleId="1">
    <w:name w:val="heading 1"/>
    <w:basedOn w:val="a"/>
    <w:next w:val="a"/>
    <w:qFormat/>
    <w:rsid w:val="002D164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D164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a4">
    <w:name w:val="Таблицы (моноширинный)"/>
    <w:basedOn w:val="a"/>
    <w:next w:val="a"/>
    <w:rsid w:val="002D1641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table" w:styleId="a5">
    <w:name w:val="Table Grid"/>
    <w:basedOn w:val="a1"/>
    <w:uiPriority w:val="59"/>
    <w:rsid w:val="002D1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D1641"/>
    <w:pPr>
      <w:tabs>
        <w:tab w:val="center" w:pos="4153"/>
        <w:tab w:val="right" w:pos="8306"/>
      </w:tabs>
    </w:pPr>
    <w:rPr>
      <w:sz w:val="22"/>
      <w:szCs w:val="20"/>
    </w:rPr>
  </w:style>
  <w:style w:type="character" w:styleId="a8">
    <w:name w:val="page number"/>
    <w:basedOn w:val="a0"/>
    <w:rsid w:val="0032172E"/>
  </w:style>
  <w:style w:type="character" w:styleId="a9">
    <w:name w:val="Hyperlink"/>
    <w:basedOn w:val="a0"/>
    <w:rsid w:val="0085669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C2286"/>
    <w:pPr>
      <w:spacing w:before="100" w:beforeAutospacing="1" w:after="100" w:afterAutospacing="1" w:line="225" w:lineRule="atLeast"/>
    </w:pPr>
    <w:rPr>
      <w:rFonts w:ascii="Verdana" w:hAnsi="Verdana"/>
      <w:color w:val="000000"/>
      <w:sz w:val="18"/>
      <w:szCs w:val="18"/>
    </w:rPr>
  </w:style>
  <w:style w:type="paragraph" w:styleId="ab">
    <w:name w:val="header"/>
    <w:basedOn w:val="a"/>
    <w:link w:val="ac"/>
    <w:uiPriority w:val="99"/>
    <w:rsid w:val="00C16A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6AFF"/>
    <w:rPr>
      <w:sz w:val="24"/>
      <w:szCs w:val="24"/>
    </w:rPr>
  </w:style>
  <w:style w:type="paragraph" w:styleId="ad">
    <w:name w:val="Balloon Text"/>
    <w:basedOn w:val="a"/>
    <w:link w:val="ae"/>
    <w:rsid w:val="00D370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370D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633F5"/>
    <w:pPr>
      <w:ind w:left="720"/>
      <w:contextualSpacing/>
    </w:pPr>
  </w:style>
  <w:style w:type="paragraph" w:styleId="af0">
    <w:name w:val="footnote text"/>
    <w:basedOn w:val="a"/>
    <w:link w:val="af1"/>
    <w:unhideWhenUsed/>
    <w:rsid w:val="000D1AB8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0D1AB8"/>
  </w:style>
  <w:style w:type="character" w:styleId="af2">
    <w:name w:val="footnote reference"/>
    <w:basedOn w:val="a0"/>
    <w:semiHidden/>
    <w:unhideWhenUsed/>
    <w:rsid w:val="000D1AB8"/>
    <w:rPr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136F32"/>
    <w:rPr>
      <w:sz w:val="22"/>
    </w:rPr>
  </w:style>
  <w:style w:type="character" w:customStyle="1" w:styleId="apple-converted-space">
    <w:name w:val="apple-converted-space"/>
    <w:basedOn w:val="a0"/>
    <w:rsid w:val="00FD5B10"/>
  </w:style>
  <w:style w:type="character" w:styleId="af3">
    <w:name w:val="Emphasis"/>
    <w:basedOn w:val="a0"/>
    <w:qFormat/>
    <w:rsid w:val="00D651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asiancommission.org/ru/act/tam_sotr/Pages/mdsw.aspx" TargetMode="Externa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un.org/development/desa/ru/" TargetMode="External"/><Relationship Id="rId17" Type="http://schemas.openxmlformats.org/officeDocument/2006/relationships/image" Target="media/image3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asiancommission.org/ru/act/integr_i_makroec/dep_stat/tradestat/analytics/Documents/Analytics_E_201602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23" Type="http://schemas.openxmlformats.org/officeDocument/2006/relationships/footer" Target="footer2.xml"/><Relationship Id="rId10" Type="http://schemas.openxmlformats.org/officeDocument/2006/relationships/hyperlink" Target="http://tass.ru/politika/1956892" TargetMode="External"/><Relationship Id="rId19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hyperlink" Target="http://www.eurasiancommission.org/ru/act/integr_i_makroec/dep_stat/tradestat/tables/intra/Pages/2016/12.aspx" TargetMode="External"/><Relationship Id="rId14" Type="http://schemas.openxmlformats.org/officeDocument/2006/relationships/hyperlink" Target="http://economy.gov.ru/minec/main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asiancommission.org/ru/act/tam_sotr/Pages/mdsw.aspx" TargetMode="External"/><Relationship Id="rId2" Type="http://schemas.openxmlformats.org/officeDocument/2006/relationships/hyperlink" Target="http://economy.gov.ru/minec/main" TargetMode="External"/><Relationship Id="rId1" Type="http://schemas.openxmlformats.org/officeDocument/2006/relationships/hyperlink" Target="https://www.un.org/development/desa/ru/" TargetMode="External"/><Relationship Id="rId4" Type="http://schemas.openxmlformats.org/officeDocument/2006/relationships/hyperlink" Target="http://tass.ru/politika/1956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B649-D831-4A3C-ADCB-4DD2DD32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21</Pages>
  <Words>3007</Words>
  <Characters>22775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№____/10/П</vt:lpstr>
    </vt:vector>
  </TitlesOfParts>
  <Company>Microsoft</Company>
  <LinksUpToDate>false</LinksUpToDate>
  <CharactersWithSpaces>25731</CharactersWithSpaces>
  <SharedDoc>false</SharedDoc>
  <HLinks>
    <vt:vector size="6" baseType="variant">
      <vt:variant>
        <vt:i4>2031669</vt:i4>
      </vt:variant>
      <vt:variant>
        <vt:i4>0</vt:i4>
      </vt:variant>
      <vt:variant>
        <vt:i4>0</vt:i4>
      </vt:variant>
      <vt:variant>
        <vt:i4>5</vt:i4>
      </vt:variant>
      <vt:variant>
        <vt:lpwstr>mailto:k9263349953@yandex.ru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№____/10/П</dc:title>
  <dc:creator>123</dc:creator>
  <cp:lastModifiedBy>Артур</cp:lastModifiedBy>
  <cp:revision>86</cp:revision>
  <cp:lastPrinted>2017-05-14T10:13:00Z</cp:lastPrinted>
  <dcterms:created xsi:type="dcterms:W3CDTF">2017-04-18T16:24:00Z</dcterms:created>
  <dcterms:modified xsi:type="dcterms:W3CDTF">2017-05-14T10:13:00Z</dcterms:modified>
</cp:coreProperties>
</file>