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E59"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 xml:space="preserve"> </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 xml:space="preserve">Классификация товара по товарной номенклатуре внешнеэкономической </w:t>
      </w:r>
      <w:r>
        <w:rPr>
          <w:rFonts w:ascii="Times New Roman" w:hAnsi="Times New Roman" w:cs="Times New Roman"/>
          <w:sz w:val="28"/>
          <w:szCs w:val="28"/>
        </w:rPr>
        <w:t>д</w:t>
      </w:r>
      <w:r w:rsidRPr="00B62891">
        <w:rPr>
          <w:rFonts w:ascii="Times New Roman" w:hAnsi="Times New Roman" w:cs="Times New Roman"/>
          <w:sz w:val="28"/>
          <w:szCs w:val="28"/>
        </w:rPr>
        <w:t>еятельности Евразийского Экономического союза представляет собой весьма сложный неоднозначный процесс, который заключается в том, что товару присваивается десятизначный код ТН ВЭД. На слайде представлена выдержка из ТН ВЭД ЕАЭС, а именно товары группы 84-85 (</w:t>
      </w:r>
      <w:r>
        <w:rPr>
          <w:rFonts w:ascii="Times New Roman" w:hAnsi="Times New Roman" w:cs="Times New Roman"/>
          <w:sz w:val="28"/>
          <w:szCs w:val="28"/>
        </w:rPr>
        <w:t xml:space="preserve">машины, </w:t>
      </w:r>
      <w:r w:rsidRPr="00B62891">
        <w:rPr>
          <w:rFonts w:ascii="Times New Roman" w:hAnsi="Times New Roman" w:cs="Times New Roman"/>
          <w:sz w:val="28"/>
          <w:szCs w:val="28"/>
        </w:rPr>
        <w:t>механизмы и оборудование)</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Особую сложность представляет перемещение товаров указанной группы, так как товар может быть изготовлен из различных материалов, а так же включать в себя товары, имеющие самостоятельный  код ТН ВЭД или же быть представленным в несобранном виде и не быть полностью укомплектованным.</w:t>
      </w:r>
    </w:p>
    <w:p w:rsidR="00622E59" w:rsidRPr="00B62891" w:rsidRDefault="00622E59" w:rsidP="00FE663A">
      <w:pPr>
        <w:pStyle w:val="Default"/>
        <w:spacing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Сложности в ходе идентификации товаров так же возникают в тех случаях, когда товар является многокомпонентным по своему составу, выполняет разнообразные функции, а так же может обладать  большим количеством характеристик.</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bookmarkStart w:id="0" w:name="_GoBack"/>
      <w:bookmarkEnd w:id="0"/>
      <w:r w:rsidRPr="00B62891">
        <w:rPr>
          <w:rFonts w:ascii="Times New Roman" w:hAnsi="Times New Roman" w:cs="Times New Roman"/>
          <w:sz w:val="28"/>
          <w:szCs w:val="28"/>
        </w:rPr>
        <w:t xml:space="preserve">Следует отметить, что  особенность классификации товара в несобранном или разобранном виде, в том числе в некомплектном или незавершенном виде, заключается в том, что он перемещается товарными партиями в течение определенного периода времени. Учитывая этот факт, задачей декларанта является точное присвоение компонентам товара единого кода ТН ВЭД ЕАЭС. Одним из путей решения проблемы по достоверному определению кода является обращение участника ВЭД в таможенный орган. Обращение должно сопровождаться подачей заявленияы о присвоении компонентам товара соответствующего кода ТН ВЭД ЕАЭС.  Принятие таможенным органом такого решения предоставляет участникам ВЭД возможность  задекларировать товар как единый комплект,  нежели определять код для каждой составной части, что в свою очередь позволяет сократить ряд  затрат,  которые связаны с выполнением определенных таможенных формальностей. </w:t>
      </w:r>
    </w:p>
    <w:p w:rsidR="00622E59" w:rsidRPr="00B62891" w:rsidRDefault="00622E59" w:rsidP="00063FF6">
      <w:pPr>
        <w:pStyle w:val="Default"/>
        <w:spacing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 xml:space="preserve">В настоящее время существует большое количество товаров, поставка которых в собранном и готовом к эксплуатации виде, не представляется возможной. Так, «решением Коллегии ЕЭК от 03.04.2018 № 45 был утвержден перечень товаров,  в отношении которых таможенными органами принимаются  решения о классификации товаров, перемещаемых в несобранном или разобранном виде, в том числе в некомплектном или незавершенном виде». </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 xml:space="preserve">Сотрудники отдела товарной номенклатуры, происхождения товаров и торговых ограничений (ОТНПТ и ТО) в ходе проверки деклараций на товар ставят перед собой вопрос, является ли перемещаемый компонент частью комплектного товара, не может ли он использоваться самостоятельно или в составе иного товара. По итогу проведения проверки в ЦТУ принимают решение, что указанные компоненты являются составляющими частями одного товара, необходимыми для его полноценного использования. </w:t>
      </w:r>
    </w:p>
    <w:p w:rsidR="00622E59" w:rsidRDefault="00622E59" w:rsidP="00B62891">
      <w:pPr>
        <w:spacing w:after="0" w:line="360" w:lineRule="auto"/>
        <w:ind w:left="-993" w:right="-427" w:firstLine="284"/>
        <w:jc w:val="both"/>
        <w:rPr>
          <w:rFonts w:ascii="Times New Roman" w:hAnsi="Times New Roman" w:cs="Times New Roman"/>
          <w:b/>
          <w:bCs/>
          <w:sz w:val="28"/>
          <w:szCs w:val="28"/>
        </w:rPr>
      </w:pPr>
      <w:r w:rsidRPr="00B62891">
        <w:rPr>
          <w:rFonts w:ascii="Times New Roman" w:hAnsi="Times New Roman" w:cs="Times New Roman"/>
          <w:sz w:val="28"/>
          <w:szCs w:val="28"/>
        </w:rPr>
        <w:t xml:space="preserve">Рассмотрим пример перемещения такого товара. ООО «Агрокомплекс «Иванисово» направило в таможенный орган запрос на определение кода ТН ВЭД  для декларируемого товара, а именно: оборудования для выращивания огурцов и помидоров. </w:t>
      </w:r>
    </w:p>
    <w:p w:rsidR="00622E59" w:rsidRPr="00B62891" w:rsidRDefault="00622E59" w:rsidP="00B62891">
      <w:pPr>
        <w:spacing w:after="0" w:line="360" w:lineRule="auto"/>
        <w:ind w:left="-993" w:right="-427" w:firstLine="284"/>
        <w:jc w:val="both"/>
        <w:rPr>
          <w:rFonts w:ascii="Times New Roman" w:hAnsi="Times New Roman" w:cs="Times New Roman"/>
          <w:b/>
          <w:bCs/>
          <w:sz w:val="28"/>
          <w:szCs w:val="28"/>
        </w:rPr>
      </w:pPr>
      <w:r w:rsidRPr="00B62891">
        <w:rPr>
          <w:rFonts w:ascii="Times New Roman" w:hAnsi="Times New Roman" w:cs="Times New Roman"/>
          <w:sz w:val="28"/>
          <w:szCs w:val="28"/>
        </w:rPr>
        <w:t xml:space="preserve">Данному товару в соответствии с принятым решением по классификации товару был присвоен десятизначный код ТН ВЭД 84 36 80 9000, по которому компоненты указанного товара должны быть задекларированы. Данный товар является многокомпонентным и включает в себя значительное количество наименований, что значительно затрудняет процесс присвоения идентификационного кода. </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 xml:space="preserve">Кроме того, следует отметить, что декларант имеет право подавать декларацию на каждый отдельный компонент,  а так же разбивать их на группы, однако сам компонент не может быть разделен на составные части. </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Так, например, лотку сбора воды и конденсата, указанному в классификационном решении должен быть присвоен код 8436. Данный компонент не может дробиться на составные части .</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Необходимо так же отметить, что ряд товаров, перемещаемых в несобранном или разобранном виде, а так же в некомплектном и незавершенном виде, чаще всего сложное оборудование, может перемещаться с уплатой 0% пошлины и 0% НДС. Это вызвано тем, что на территории Российской Федерации указанное оборудование, а так же его аналоги не производятся.</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 xml:space="preserve">На практике процесс перемещения товара в несобранном или разобранном виде, в том числе в некомплектном или незавершенном виде сопровождается, как уже было указано, подачей декларации на каждый компонент. До 1 января 2018 года необходимым условием являлась подача итоговой декларации, которая в свою очередь играла роль формального документа, выполняющего функцию контроля отчетности. </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 xml:space="preserve">Однако, в связи тем, что был введен ТК ЕАЭС концептуальные изменения коснулись и порядка декларирования товаров, перемещаемых в несобранном и разобранном виде, в том числе в некомплектном и незавершенном виде, поставляемых отдельными партиями (так называемых «компонентов»). В настоящее время данный порядок регламентируется положениями ст. 215 ФЗ №311. </w:t>
      </w:r>
      <w:r w:rsidRPr="00EB78E9">
        <w:rPr>
          <w:rFonts w:ascii="Times New Roman" w:hAnsi="Times New Roman" w:cs="Times New Roman"/>
          <w:sz w:val="28"/>
          <w:szCs w:val="28"/>
        </w:rPr>
        <w:t>Ключевым отличием нового порядка декларирования «компонентов» является их декларирование путем подачи декларации на каждую товарную партию. Итоговая декларация на весь «комплектный объект» не предусмотрена.</w:t>
      </w:r>
      <w:r w:rsidRPr="00B62891">
        <w:rPr>
          <w:rFonts w:ascii="Times New Roman" w:hAnsi="Times New Roman" w:cs="Times New Roman"/>
          <w:b/>
          <w:bCs/>
          <w:sz w:val="28"/>
          <w:szCs w:val="28"/>
        </w:rPr>
        <w:t xml:space="preserve"> </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Как было выяснено в ходе прохождения практики на Тверской таможне, тем самым процесс таможенного контроля перемещения товаров в указанном виде был облегчен для участников ВЭД, однако для контролирующих перемещение таких товаров органов данное нововведение усложнило процесс таможенного контроля. ТК ЕАЭС обладает  приоритетной  силой, однако большинство норм имеют отсылку к национальному законодательству, в связи с чем сотрудники ЦТУ до сих пор получают итоговые таможенные декларации на проверку, так как в национальном законодательстве данное нововведение еще не закреплено, так как проект ФЗ № 311, который имплементирует  нормы ТК ЕАЭС еще только вынесен на рассмотрение в Государственную Думу РФ.</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 xml:space="preserve">Таким образом, подводя итог, необходимо отметить, что декларирование товаров в несобранном или разобранном виде, в том числе в некомплектном и незавершенном виде до 1 января 2018 года осуществлялось путем подачи отдельной декларации на компоненты товара, а так же итоговой декларации на весь «комплектный товар». </w:t>
      </w:r>
    </w:p>
    <w:p w:rsidR="00622E59" w:rsidRPr="00B62891" w:rsidRDefault="00622E59" w:rsidP="00DE5408">
      <w:pPr>
        <w:spacing w:after="0" w:line="360" w:lineRule="auto"/>
        <w:ind w:left="-993" w:right="-427" w:firstLine="284"/>
        <w:jc w:val="both"/>
        <w:rPr>
          <w:rFonts w:ascii="Times New Roman" w:hAnsi="Times New Roman" w:cs="Times New Roman"/>
          <w:sz w:val="28"/>
          <w:szCs w:val="28"/>
        </w:rPr>
      </w:pPr>
      <w:r w:rsidRPr="00B62891">
        <w:rPr>
          <w:rFonts w:ascii="Times New Roman" w:hAnsi="Times New Roman" w:cs="Times New Roman"/>
          <w:sz w:val="28"/>
          <w:szCs w:val="28"/>
        </w:rPr>
        <w:t>В настоящее время подача итоговой декларации не требуется, однако на практике участниками ВЭД еще используется старый порядок декларирования, так как национальное законодательство еще не приведено в соответствие с ТК ЕАЭСоюза.</w:t>
      </w:r>
    </w:p>
    <w:p w:rsidR="00622E59" w:rsidRPr="00B62891" w:rsidRDefault="00622E59" w:rsidP="00DE5408">
      <w:pPr>
        <w:spacing w:after="0" w:line="360" w:lineRule="auto"/>
        <w:ind w:left="-993" w:right="-427" w:firstLine="284"/>
        <w:jc w:val="both"/>
        <w:rPr>
          <w:rFonts w:ascii="Times New Roman" w:hAnsi="Times New Roman" w:cs="Times New Roman"/>
          <w:color w:val="000000"/>
          <w:sz w:val="28"/>
          <w:szCs w:val="28"/>
          <w:shd w:val="clear" w:color="auto" w:fill="FFFFFF"/>
        </w:rPr>
      </w:pPr>
      <w:r w:rsidRPr="00B62891">
        <w:rPr>
          <w:rFonts w:ascii="Times New Roman" w:hAnsi="Times New Roman" w:cs="Times New Roman"/>
          <w:b/>
          <w:bCs/>
          <w:color w:val="000000"/>
          <w:sz w:val="28"/>
          <w:szCs w:val="28"/>
          <w:shd w:val="clear" w:color="auto" w:fill="FFFFFF"/>
        </w:rPr>
        <w:t>Спасибо за внимание!</w:t>
      </w:r>
    </w:p>
    <w:p w:rsidR="00622E59" w:rsidRPr="00B62891" w:rsidRDefault="00622E59" w:rsidP="00DE5408">
      <w:pPr>
        <w:spacing w:after="0" w:line="360" w:lineRule="auto"/>
        <w:ind w:left="-993" w:right="-427" w:firstLine="284"/>
        <w:jc w:val="both"/>
        <w:rPr>
          <w:rFonts w:ascii="Times New Roman" w:hAnsi="Times New Roman" w:cs="Times New Roman"/>
          <w:b/>
          <w:bCs/>
          <w:sz w:val="28"/>
          <w:szCs w:val="28"/>
        </w:rPr>
      </w:pPr>
    </w:p>
    <w:p w:rsidR="00622E59" w:rsidRPr="00B62891" w:rsidRDefault="00622E59" w:rsidP="00DE5408">
      <w:pPr>
        <w:ind w:left="-993" w:right="-427" w:firstLine="284"/>
        <w:rPr>
          <w:sz w:val="28"/>
          <w:szCs w:val="28"/>
        </w:rPr>
      </w:pPr>
    </w:p>
    <w:sectPr w:rsidR="00622E59" w:rsidRPr="00B62891" w:rsidSect="00DE5408">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E59" w:rsidRDefault="00622E59" w:rsidP="00270DEA">
      <w:pPr>
        <w:spacing w:after="0" w:line="240" w:lineRule="auto"/>
      </w:pPr>
      <w:r>
        <w:separator/>
      </w:r>
    </w:p>
  </w:endnote>
  <w:endnote w:type="continuationSeparator" w:id="0">
    <w:p w:rsidR="00622E59" w:rsidRDefault="00622E59" w:rsidP="00270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E59" w:rsidRDefault="00622E59" w:rsidP="00270DEA">
      <w:pPr>
        <w:spacing w:after="0" w:line="240" w:lineRule="auto"/>
      </w:pPr>
      <w:r>
        <w:separator/>
      </w:r>
    </w:p>
  </w:footnote>
  <w:footnote w:type="continuationSeparator" w:id="0">
    <w:p w:rsidR="00622E59" w:rsidRDefault="00622E59" w:rsidP="00270D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EA"/>
    <w:rsid w:val="00063FF6"/>
    <w:rsid w:val="001F5344"/>
    <w:rsid w:val="00270DEA"/>
    <w:rsid w:val="002E7E65"/>
    <w:rsid w:val="00301348"/>
    <w:rsid w:val="003018E4"/>
    <w:rsid w:val="00376B89"/>
    <w:rsid w:val="004F7744"/>
    <w:rsid w:val="00622E59"/>
    <w:rsid w:val="00681AF9"/>
    <w:rsid w:val="00784F98"/>
    <w:rsid w:val="007A1443"/>
    <w:rsid w:val="0086504B"/>
    <w:rsid w:val="008D4D7E"/>
    <w:rsid w:val="00AD6770"/>
    <w:rsid w:val="00B35D07"/>
    <w:rsid w:val="00B62891"/>
    <w:rsid w:val="00B761A9"/>
    <w:rsid w:val="00DE5408"/>
    <w:rsid w:val="00E732B4"/>
    <w:rsid w:val="00EB78E9"/>
    <w:rsid w:val="00EB7D9A"/>
    <w:rsid w:val="00FE66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DE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70DEA"/>
    <w:pPr>
      <w:autoSpaceDE w:val="0"/>
      <w:autoSpaceDN w:val="0"/>
      <w:adjustRightInd w:val="0"/>
    </w:pPr>
    <w:rPr>
      <w:rFonts w:cs="Calibri"/>
      <w:color w:val="000000"/>
      <w:sz w:val="24"/>
      <w:szCs w:val="24"/>
    </w:rPr>
  </w:style>
  <w:style w:type="character" w:styleId="Hyperlink">
    <w:name w:val="Hyperlink"/>
    <w:basedOn w:val="DefaultParagraphFont"/>
    <w:uiPriority w:val="99"/>
    <w:semiHidden/>
    <w:rsid w:val="00270DEA"/>
    <w:rPr>
      <w:color w:val="0000FF"/>
      <w:u w:val="single"/>
    </w:rPr>
  </w:style>
  <w:style w:type="paragraph" w:styleId="FootnoteText">
    <w:name w:val="footnote text"/>
    <w:basedOn w:val="Normal"/>
    <w:link w:val="FootnoteTextChar"/>
    <w:uiPriority w:val="99"/>
    <w:semiHidden/>
    <w:rsid w:val="00270DE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70DEA"/>
    <w:rPr>
      <w:rFonts w:ascii="Calibri" w:hAnsi="Calibri" w:cs="Calibri"/>
      <w:sz w:val="20"/>
      <w:szCs w:val="20"/>
    </w:rPr>
  </w:style>
  <w:style w:type="character" w:styleId="FootnoteReference">
    <w:name w:val="footnote reference"/>
    <w:basedOn w:val="DefaultParagraphFont"/>
    <w:uiPriority w:val="99"/>
    <w:semiHidden/>
    <w:rsid w:val="00270DEA"/>
    <w:rPr>
      <w:vertAlign w:val="superscript"/>
    </w:rPr>
  </w:style>
  <w:style w:type="paragraph" w:styleId="BalloonText">
    <w:name w:val="Balloon Text"/>
    <w:basedOn w:val="Normal"/>
    <w:link w:val="BalloonTextChar"/>
    <w:uiPriority w:val="99"/>
    <w:semiHidden/>
    <w:rsid w:val="00270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0D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TotalTime>
  <Pages>3</Pages>
  <Words>921</Words>
  <Characters>5256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Andrey</cp:lastModifiedBy>
  <cp:revision>11</cp:revision>
  <cp:lastPrinted>2018-04-19T11:45:00Z</cp:lastPrinted>
  <dcterms:created xsi:type="dcterms:W3CDTF">2018-04-17T19:08:00Z</dcterms:created>
  <dcterms:modified xsi:type="dcterms:W3CDTF">2018-04-28T06:33:00Z</dcterms:modified>
</cp:coreProperties>
</file>