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E1D" w:rsidRDefault="00F43920" w:rsidP="00E7407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ПРОБЛЕМЕ ПОНИМАНИЯ ПРАВА СЛЕДОВАНИЯ КАК ПРИЗНАКА ВЕЩНЫХ ПРАВ И ИСПОЛЬЗОВАНИЯ СУДАМИ ДАННОГО ПРИЗНАКА ДЛЯ РАЗРЕШЕНИЯ ДЕЛ ПО СУЩЕСТВУ</w:t>
      </w:r>
    </w:p>
    <w:p w:rsidR="00BB6C48" w:rsidRPr="002B3E4A" w:rsidRDefault="00BB6C48" w:rsidP="00E7407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B3E4A">
        <w:rPr>
          <w:rFonts w:ascii="Times New Roman" w:hAnsi="Times New Roman" w:cs="Times New Roman"/>
          <w:b/>
          <w:i/>
          <w:sz w:val="28"/>
          <w:szCs w:val="28"/>
        </w:rPr>
        <w:t>Румянцева Александра Алексеевна</w:t>
      </w:r>
    </w:p>
    <w:p w:rsidR="00BB6C48" w:rsidRPr="00A927F7" w:rsidRDefault="00BB6C48" w:rsidP="00E74078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927F7">
        <w:rPr>
          <w:rFonts w:ascii="Times New Roman" w:hAnsi="Times New Roman" w:cs="Times New Roman"/>
          <w:i/>
          <w:sz w:val="28"/>
          <w:szCs w:val="28"/>
        </w:rPr>
        <w:t>Тверской государственный университет, Тверь</w:t>
      </w:r>
    </w:p>
    <w:p w:rsidR="00BB6C48" w:rsidRPr="00CF79C0" w:rsidRDefault="00BB6C48" w:rsidP="00E74078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F79C0">
        <w:rPr>
          <w:rFonts w:ascii="Times New Roman" w:hAnsi="Times New Roman" w:cs="Times New Roman"/>
          <w:i/>
          <w:sz w:val="28"/>
          <w:szCs w:val="28"/>
          <w:lang w:val="en-US"/>
        </w:rPr>
        <w:t>alexrumjantceva</w:t>
      </w:r>
      <w:proofErr w:type="spellEnd"/>
      <w:r w:rsidRPr="00CF79C0">
        <w:rPr>
          <w:rFonts w:ascii="Times New Roman" w:hAnsi="Times New Roman" w:cs="Times New Roman"/>
          <w:i/>
          <w:sz w:val="28"/>
          <w:szCs w:val="28"/>
        </w:rPr>
        <w:t>@</w:t>
      </w:r>
      <w:r w:rsidRPr="00CF79C0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CF79C0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CF79C0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BB6C48" w:rsidRPr="00BB6C48" w:rsidRDefault="00BB6C48" w:rsidP="00E7407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E259F" w:rsidRDefault="001116CB" w:rsidP="00F439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6CB">
        <w:rPr>
          <w:rFonts w:ascii="Times New Roman" w:hAnsi="Times New Roman" w:cs="Times New Roman"/>
          <w:sz w:val="28"/>
          <w:szCs w:val="28"/>
        </w:rPr>
        <w:t>Российский законодатель закрепил такой признак вещных прав, как право следования в п.3 ст.216 ГК РФ</w:t>
      </w:r>
      <w:r w:rsidR="00283254" w:rsidRPr="00283254">
        <w:rPr>
          <w:rFonts w:ascii="Times New Roman" w:hAnsi="Times New Roman" w:cs="Times New Roman"/>
          <w:sz w:val="28"/>
          <w:szCs w:val="28"/>
        </w:rPr>
        <w:t xml:space="preserve"> [</w:t>
      </w:r>
      <w:r w:rsidR="00157307">
        <w:rPr>
          <w:rFonts w:ascii="Times New Roman" w:hAnsi="Times New Roman" w:cs="Times New Roman"/>
          <w:sz w:val="28"/>
          <w:szCs w:val="28"/>
        </w:rPr>
        <w:t>3</w:t>
      </w:r>
      <w:r w:rsidR="00283254" w:rsidRPr="00283254">
        <w:rPr>
          <w:rFonts w:ascii="Times New Roman" w:hAnsi="Times New Roman" w:cs="Times New Roman"/>
          <w:sz w:val="28"/>
          <w:szCs w:val="28"/>
        </w:rPr>
        <w:t>]</w:t>
      </w:r>
      <w:r w:rsidR="00036374">
        <w:rPr>
          <w:rFonts w:ascii="Times New Roman" w:hAnsi="Times New Roman" w:cs="Times New Roman"/>
          <w:sz w:val="28"/>
          <w:szCs w:val="28"/>
        </w:rPr>
        <w:t xml:space="preserve"> </w:t>
      </w:r>
      <w:r w:rsidRPr="001116CB">
        <w:rPr>
          <w:rFonts w:ascii="Times New Roman" w:hAnsi="Times New Roman" w:cs="Times New Roman"/>
          <w:sz w:val="28"/>
          <w:szCs w:val="28"/>
        </w:rPr>
        <w:t>Переход права собственности на имущество к другому лицу не является основанием для прекращения иных вещных прав на это имущество.</w:t>
      </w:r>
      <w:r w:rsidR="008E259F">
        <w:rPr>
          <w:rFonts w:ascii="Times New Roman" w:hAnsi="Times New Roman" w:cs="Times New Roman"/>
          <w:sz w:val="28"/>
          <w:szCs w:val="28"/>
        </w:rPr>
        <w:t xml:space="preserve"> Следствием отсутствия закрепления отечественным законодателем данного термина является</w:t>
      </w:r>
      <w:r w:rsidR="00036374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036374" w:rsidRPr="00036374">
        <w:rPr>
          <w:rFonts w:ascii="Times New Roman" w:hAnsi="Times New Roman" w:cs="Times New Roman"/>
          <w:sz w:val="28"/>
          <w:szCs w:val="28"/>
        </w:rPr>
        <w:t xml:space="preserve">к данному положению применяется </w:t>
      </w:r>
      <w:r w:rsidR="00036374">
        <w:rPr>
          <w:rFonts w:ascii="Times New Roman" w:hAnsi="Times New Roman" w:cs="Times New Roman"/>
          <w:sz w:val="28"/>
          <w:szCs w:val="28"/>
        </w:rPr>
        <w:t>несколько определений, терминов, значений.</w:t>
      </w:r>
    </w:p>
    <w:p w:rsidR="008E259F" w:rsidRDefault="00036374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283254">
        <w:rPr>
          <w:rFonts w:ascii="Times New Roman" w:hAnsi="Times New Roman" w:cs="Times New Roman"/>
          <w:sz w:val="28"/>
          <w:szCs w:val="28"/>
        </w:rPr>
        <w:t xml:space="preserve">Васильев В.В. </w:t>
      </w:r>
      <w:r w:rsidR="00283254" w:rsidRPr="00283254">
        <w:rPr>
          <w:rFonts w:ascii="Times New Roman" w:hAnsi="Times New Roman" w:cs="Times New Roman"/>
          <w:sz w:val="28"/>
          <w:szCs w:val="28"/>
        </w:rPr>
        <w:t>[</w:t>
      </w:r>
      <w:r w:rsidR="00157307">
        <w:rPr>
          <w:rFonts w:ascii="Times New Roman" w:hAnsi="Times New Roman" w:cs="Times New Roman"/>
          <w:sz w:val="28"/>
          <w:szCs w:val="28"/>
        </w:rPr>
        <w:t>2</w:t>
      </w:r>
      <w:r w:rsidR="00283254">
        <w:rPr>
          <w:rFonts w:ascii="Times New Roman" w:hAnsi="Times New Roman" w:cs="Times New Roman"/>
          <w:sz w:val="28"/>
          <w:szCs w:val="28"/>
        </w:rPr>
        <w:t>, с. 43</w:t>
      </w:r>
      <w:r w:rsidR="00283254" w:rsidRPr="00283254">
        <w:rPr>
          <w:rFonts w:ascii="Times New Roman" w:hAnsi="Times New Roman" w:cs="Times New Roman"/>
          <w:sz w:val="28"/>
          <w:szCs w:val="28"/>
        </w:rPr>
        <w:t xml:space="preserve">] </w:t>
      </w:r>
      <w:r w:rsidR="00283254">
        <w:rPr>
          <w:rFonts w:ascii="Times New Roman" w:hAnsi="Times New Roman" w:cs="Times New Roman"/>
          <w:sz w:val="28"/>
          <w:szCs w:val="28"/>
        </w:rPr>
        <w:t>говорит о том, что с</w:t>
      </w:r>
      <w:r w:rsidR="008E259F" w:rsidRPr="00EB7246">
        <w:rPr>
          <w:rFonts w:ascii="Times New Roman" w:hAnsi="Times New Roman" w:cs="Times New Roman"/>
          <w:sz w:val="28"/>
          <w:szCs w:val="28"/>
        </w:rPr>
        <w:t xml:space="preserve">войство следования являлось объектом предметных научных исследований, при этом обозначаясь различными </w:t>
      </w:r>
      <w:proofErr w:type="spellStart"/>
      <w:r w:rsidR="008E259F" w:rsidRPr="00EB7246">
        <w:rPr>
          <w:rFonts w:ascii="Times New Roman" w:hAnsi="Times New Roman" w:cs="Times New Roman"/>
          <w:sz w:val="28"/>
          <w:szCs w:val="28"/>
        </w:rPr>
        <w:t>дифинициями</w:t>
      </w:r>
      <w:proofErr w:type="spellEnd"/>
      <w:r w:rsidR="008E259F" w:rsidRPr="00EB7246">
        <w:rPr>
          <w:rFonts w:ascii="Times New Roman" w:hAnsi="Times New Roman" w:cs="Times New Roman"/>
          <w:sz w:val="28"/>
          <w:szCs w:val="28"/>
        </w:rPr>
        <w:t>, такими как «правомочие следования», «право следования».</w:t>
      </w:r>
    </w:p>
    <w:p w:rsidR="00527AF4" w:rsidRDefault="00036374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точка зрения характерн</w:t>
      </w:r>
      <w:r w:rsidR="009D4E79">
        <w:rPr>
          <w:rFonts w:ascii="Times New Roman" w:hAnsi="Times New Roman" w:cs="Times New Roman"/>
          <w:sz w:val="28"/>
          <w:szCs w:val="28"/>
        </w:rPr>
        <w:t xml:space="preserve">а </w:t>
      </w:r>
      <w:r w:rsidR="008E259F" w:rsidRPr="00EB7246">
        <w:rPr>
          <w:rFonts w:ascii="Times New Roman" w:hAnsi="Times New Roman" w:cs="Times New Roman"/>
          <w:sz w:val="28"/>
          <w:szCs w:val="28"/>
        </w:rPr>
        <w:t xml:space="preserve">для ученых, исследующих право удержания. К примеру, В.В. </w:t>
      </w:r>
      <w:proofErr w:type="spellStart"/>
      <w:r w:rsidR="008E259F" w:rsidRPr="00EB7246">
        <w:rPr>
          <w:rFonts w:ascii="Times New Roman" w:hAnsi="Times New Roman" w:cs="Times New Roman"/>
          <w:sz w:val="28"/>
          <w:szCs w:val="28"/>
        </w:rPr>
        <w:t>Витрянский</w:t>
      </w:r>
      <w:proofErr w:type="spellEnd"/>
      <w:r w:rsidR="008E259F" w:rsidRPr="00EB72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E259F" w:rsidRPr="00EB7246">
        <w:rPr>
          <w:rFonts w:ascii="Times New Roman" w:hAnsi="Times New Roman" w:cs="Times New Roman"/>
          <w:sz w:val="28"/>
          <w:szCs w:val="28"/>
        </w:rPr>
        <w:t>С.В.Сарбаш</w:t>
      </w:r>
      <w:proofErr w:type="spellEnd"/>
      <w:r w:rsidR="008E259F" w:rsidRPr="00EB7246">
        <w:rPr>
          <w:rFonts w:ascii="Times New Roman" w:hAnsi="Times New Roman" w:cs="Times New Roman"/>
          <w:sz w:val="28"/>
          <w:szCs w:val="28"/>
        </w:rPr>
        <w:t xml:space="preserve"> связывают право следования одновременно с возможностью применения вещно-правовых средств защиты и с сохранением права при прекращении фактического владения вещью, а вовсе не с сохранением вещного права при перемене собственника имущества, как это предусмотрено п.3 ст.216 ГК РФ. Учитывая то, что в названной статье не употребляется само выражение «право следования», такой подход вполне допустим.</w:t>
      </w:r>
    </w:p>
    <w:p w:rsidR="001116CB" w:rsidRPr="0070172B" w:rsidRDefault="008E259F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246">
        <w:rPr>
          <w:rFonts w:ascii="Times New Roman" w:hAnsi="Times New Roman" w:cs="Times New Roman"/>
          <w:sz w:val="28"/>
          <w:szCs w:val="28"/>
        </w:rPr>
        <w:t xml:space="preserve"> </w:t>
      </w:r>
      <w:r w:rsidR="00527AF4">
        <w:rPr>
          <w:rFonts w:ascii="Times New Roman" w:hAnsi="Times New Roman" w:cs="Times New Roman"/>
          <w:sz w:val="28"/>
          <w:szCs w:val="28"/>
        </w:rPr>
        <w:t>В</w:t>
      </w:r>
      <w:r w:rsidR="001116CB" w:rsidRPr="001116CB">
        <w:rPr>
          <w:rFonts w:ascii="Times New Roman" w:hAnsi="Times New Roman" w:cs="Times New Roman"/>
          <w:sz w:val="28"/>
          <w:szCs w:val="28"/>
        </w:rPr>
        <w:t xml:space="preserve"> большинстве научных трудов право следования понимается именно так: </w:t>
      </w:r>
      <w:r w:rsidR="00036374">
        <w:rPr>
          <w:rFonts w:ascii="Times New Roman" w:hAnsi="Times New Roman" w:cs="Times New Roman"/>
          <w:sz w:val="28"/>
          <w:szCs w:val="28"/>
        </w:rPr>
        <w:t>л</w:t>
      </w:r>
      <w:r w:rsidR="001116CB" w:rsidRPr="001116CB">
        <w:rPr>
          <w:rFonts w:ascii="Times New Roman" w:hAnsi="Times New Roman" w:cs="Times New Roman"/>
          <w:sz w:val="28"/>
          <w:szCs w:val="28"/>
        </w:rPr>
        <w:t>ицо продолжает сохранять на вещь всю полноту своих прав, когда она</w:t>
      </w:r>
      <w:r w:rsidR="00036374">
        <w:rPr>
          <w:rFonts w:ascii="Times New Roman" w:hAnsi="Times New Roman" w:cs="Times New Roman"/>
          <w:sz w:val="28"/>
          <w:szCs w:val="28"/>
        </w:rPr>
        <w:t xml:space="preserve"> </w:t>
      </w:r>
      <w:r w:rsidR="001116CB" w:rsidRPr="001116CB">
        <w:rPr>
          <w:rFonts w:ascii="Times New Roman" w:hAnsi="Times New Roman" w:cs="Times New Roman"/>
          <w:sz w:val="28"/>
          <w:szCs w:val="28"/>
        </w:rPr>
        <w:t>перешла к другому помимо его воли, находится у третьего лица незаконно, или же вещь на законных основаниях переходит не на условиях права собственности</w:t>
      </w:r>
      <w:r w:rsidR="0089184E" w:rsidRPr="0089184E">
        <w:rPr>
          <w:rFonts w:ascii="Times New Roman" w:hAnsi="Times New Roman" w:cs="Times New Roman"/>
          <w:sz w:val="28"/>
          <w:szCs w:val="28"/>
        </w:rPr>
        <w:t xml:space="preserve"> [ </w:t>
      </w:r>
      <w:r w:rsidR="00157307">
        <w:rPr>
          <w:rFonts w:ascii="Times New Roman" w:hAnsi="Times New Roman" w:cs="Times New Roman"/>
          <w:sz w:val="28"/>
          <w:szCs w:val="28"/>
        </w:rPr>
        <w:t>1</w:t>
      </w:r>
      <w:r w:rsidR="0089184E">
        <w:rPr>
          <w:rFonts w:ascii="Times New Roman" w:hAnsi="Times New Roman" w:cs="Times New Roman"/>
          <w:sz w:val="28"/>
          <w:szCs w:val="28"/>
        </w:rPr>
        <w:t>, с.</w:t>
      </w:r>
      <w:r w:rsidR="00B31A7D">
        <w:rPr>
          <w:rFonts w:ascii="Times New Roman" w:hAnsi="Times New Roman" w:cs="Times New Roman"/>
          <w:sz w:val="28"/>
          <w:szCs w:val="28"/>
        </w:rPr>
        <w:t xml:space="preserve"> </w:t>
      </w:r>
      <w:r w:rsidR="0089184E" w:rsidRPr="0089184E">
        <w:rPr>
          <w:rFonts w:ascii="Times New Roman" w:hAnsi="Times New Roman" w:cs="Times New Roman"/>
          <w:sz w:val="28"/>
          <w:szCs w:val="28"/>
        </w:rPr>
        <w:t>3]</w:t>
      </w:r>
      <w:r w:rsidR="001116CB" w:rsidRPr="001116CB">
        <w:rPr>
          <w:rFonts w:ascii="Times New Roman" w:hAnsi="Times New Roman" w:cs="Times New Roman"/>
          <w:sz w:val="28"/>
          <w:szCs w:val="28"/>
        </w:rPr>
        <w:t xml:space="preserve">. </w:t>
      </w:r>
      <w:r w:rsidR="00527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6CB" w:rsidRPr="001116CB" w:rsidRDefault="00B27CA9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Дискуссии ведутся и по поводу </w:t>
      </w:r>
      <w:r w:rsidR="0070172B">
        <w:rPr>
          <w:rFonts w:ascii="Times New Roman" w:hAnsi="Times New Roman" w:cs="Times New Roman"/>
          <w:sz w:val="28"/>
          <w:szCs w:val="28"/>
        </w:rPr>
        <w:t xml:space="preserve">того, </w:t>
      </w:r>
      <w:r>
        <w:rPr>
          <w:rFonts w:ascii="Times New Roman" w:hAnsi="Times New Roman" w:cs="Times New Roman"/>
          <w:sz w:val="28"/>
          <w:szCs w:val="28"/>
        </w:rPr>
        <w:t xml:space="preserve">следует ли выделять данный признак в качестве самостоятельного. </w:t>
      </w:r>
      <w:r w:rsidR="001116CB" w:rsidRPr="001116CB">
        <w:rPr>
          <w:rFonts w:ascii="Times New Roman" w:hAnsi="Times New Roman" w:cs="Times New Roman"/>
          <w:sz w:val="28"/>
          <w:szCs w:val="28"/>
        </w:rPr>
        <w:t>Многие ученые, в частности,</w:t>
      </w:r>
      <w:r w:rsidR="00926A05">
        <w:rPr>
          <w:rFonts w:ascii="Times New Roman" w:hAnsi="Times New Roman" w:cs="Times New Roman"/>
          <w:sz w:val="28"/>
          <w:szCs w:val="28"/>
        </w:rPr>
        <w:t xml:space="preserve"> </w:t>
      </w:r>
      <w:r w:rsidR="001116CB" w:rsidRPr="001116CB">
        <w:rPr>
          <w:rFonts w:ascii="Times New Roman" w:hAnsi="Times New Roman" w:cs="Times New Roman"/>
          <w:sz w:val="28"/>
          <w:szCs w:val="28"/>
        </w:rPr>
        <w:t xml:space="preserve">Петрушкин В.А </w:t>
      </w:r>
      <w:r w:rsidR="0089184E" w:rsidRPr="0089184E">
        <w:rPr>
          <w:rFonts w:ascii="Times New Roman" w:hAnsi="Times New Roman" w:cs="Times New Roman"/>
          <w:sz w:val="28"/>
          <w:szCs w:val="28"/>
        </w:rPr>
        <w:t>[4</w:t>
      </w:r>
      <w:r w:rsidR="009D0D9C">
        <w:rPr>
          <w:rFonts w:ascii="Times New Roman" w:hAnsi="Times New Roman" w:cs="Times New Roman"/>
          <w:sz w:val="28"/>
          <w:szCs w:val="28"/>
        </w:rPr>
        <w:t>, с.</w:t>
      </w:r>
      <w:r w:rsidR="0086718F">
        <w:rPr>
          <w:rFonts w:ascii="Times New Roman" w:hAnsi="Times New Roman" w:cs="Times New Roman"/>
          <w:sz w:val="28"/>
          <w:szCs w:val="28"/>
        </w:rPr>
        <w:t xml:space="preserve"> </w:t>
      </w:r>
      <w:r w:rsidR="009D0D9C">
        <w:rPr>
          <w:rFonts w:ascii="Times New Roman" w:hAnsi="Times New Roman" w:cs="Times New Roman"/>
          <w:sz w:val="28"/>
          <w:szCs w:val="28"/>
        </w:rPr>
        <w:t>138</w:t>
      </w:r>
      <w:r w:rsidR="0089184E" w:rsidRPr="0089184E">
        <w:rPr>
          <w:rFonts w:ascii="Times New Roman" w:hAnsi="Times New Roman" w:cs="Times New Roman"/>
          <w:sz w:val="28"/>
          <w:szCs w:val="28"/>
        </w:rPr>
        <w:t>]</w:t>
      </w:r>
      <w:r w:rsidR="0089184E">
        <w:rPr>
          <w:rFonts w:ascii="Times New Roman" w:hAnsi="Times New Roman" w:cs="Times New Roman"/>
          <w:sz w:val="28"/>
          <w:szCs w:val="28"/>
        </w:rPr>
        <w:t xml:space="preserve"> </w:t>
      </w:r>
      <w:r w:rsidR="001116CB" w:rsidRPr="001116CB">
        <w:rPr>
          <w:rFonts w:ascii="Times New Roman" w:hAnsi="Times New Roman" w:cs="Times New Roman"/>
          <w:sz w:val="28"/>
          <w:szCs w:val="28"/>
        </w:rPr>
        <w:t>рассматрива</w:t>
      </w:r>
      <w:r w:rsidR="00926A05">
        <w:rPr>
          <w:rFonts w:ascii="Times New Roman" w:hAnsi="Times New Roman" w:cs="Times New Roman"/>
          <w:sz w:val="28"/>
          <w:szCs w:val="28"/>
        </w:rPr>
        <w:t>е</w:t>
      </w:r>
      <w:r w:rsidR="001116CB" w:rsidRPr="001116CB">
        <w:rPr>
          <w:rFonts w:ascii="Times New Roman" w:hAnsi="Times New Roman" w:cs="Times New Roman"/>
          <w:sz w:val="28"/>
          <w:szCs w:val="28"/>
        </w:rPr>
        <w:t>т право следования как признак вещного права лишь в качестве одного из проявлений абсолютного характера вещных правоотношений</w:t>
      </w:r>
      <w:r w:rsidR="005D0C9B">
        <w:rPr>
          <w:rFonts w:ascii="Times New Roman" w:hAnsi="Times New Roman" w:cs="Times New Roman"/>
          <w:sz w:val="28"/>
          <w:szCs w:val="28"/>
        </w:rPr>
        <w:t>.</w:t>
      </w:r>
      <w:r w:rsidR="001116CB" w:rsidRPr="001116CB">
        <w:rPr>
          <w:rFonts w:ascii="Times New Roman" w:hAnsi="Times New Roman" w:cs="Times New Roman"/>
          <w:sz w:val="28"/>
          <w:szCs w:val="28"/>
        </w:rPr>
        <w:t xml:space="preserve"> </w:t>
      </w:r>
      <w:r w:rsidR="00BF612A">
        <w:rPr>
          <w:rFonts w:ascii="Times New Roman" w:hAnsi="Times New Roman" w:cs="Times New Roman"/>
          <w:sz w:val="28"/>
          <w:szCs w:val="28"/>
        </w:rPr>
        <w:t xml:space="preserve"> </w:t>
      </w:r>
      <w:r w:rsidR="005F7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0A0" w:rsidRDefault="001116CB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6CB">
        <w:rPr>
          <w:rFonts w:ascii="Times New Roman" w:hAnsi="Times New Roman" w:cs="Times New Roman"/>
          <w:sz w:val="28"/>
          <w:szCs w:val="28"/>
        </w:rPr>
        <w:t>Несмотря на т</w:t>
      </w:r>
      <w:bookmarkStart w:id="0" w:name="_GoBack"/>
      <w:bookmarkEnd w:id="0"/>
      <w:r w:rsidRPr="001116CB">
        <w:rPr>
          <w:rFonts w:ascii="Times New Roman" w:hAnsi="Times New Roman" w:cs="Times New Roman"/>
          <w:sz w:val="28"/>
          <w:szCs w:val="28"/>
        </w:rPr>
        <w:t>о, что не все ученые относят право следования к отдельно выделяемому</w:t>
      </w:r>
      <w:r w:rsidR="006F6329">
        <w:rPr>
          <w:rFonts w:ascii="Times New Roman" w:hAnsi="Times New Roman" w:cs="Times New Roman"/>
          <w:sz w:val="28"/>
          <w:szCs w:val="28"/>
        </w:rPr>
        <w:t xml:space="preserve">, </w:t>
      </w:r>
      <w:r w:rsidRPr="001116CB">
        <w:rPr>
          <w:rFonts w:ascii="Times New Roman" w:hAnsi="Times New Roman" w:cs="Times New Roman"/>
          <w:sz w:val="28"/>
          <w:szCs w:val="28"/>
        </w:rPr>
        <w:t>данный признак признается абсолютно всеми исследователями в том или ином качестве. Подобная солидарность мнений также проявляется в отношении того, что право следования можно с большим трудом назвать универсальным признаком вещных прав. Большинство ученых, исследующих гражданское право и вещные права в частности, считают, что данный признак присущ лишь ограниченным вещным правам</w:t>
      </w:r>
      <w:r w:rsidR="00D068B4">
        <w:rPr>
          <w:rFonts w:ascii="Times New Roman" w:hAnsi="Times New Roman" w:cs="Times New Roman"/>
          <w:sz w:val="28"/>
          <w:szCs w:val="28"/>
        </w:rPr>
        <w:t>. Так, Синицын С.А. пишет о том, что с</w:t>
      </w:r>
      <w:r w:rsidRPr="001116CB">
        <w:rPr>
          <w:rFonts w:ascii="Times New Roman" w:hAnsi="Times New Roman" w:cs="Times New Roman"/>
          <w:sz w:val="28"/>
          <w:szCs w:val="28"/>
        </w:rPr>
        <w:t>войство следования права за вещью едва ли возможно относить к универсальным признакам вещных прав, поскольку это характерно только для ограниченных вещных прав</w:t>
      </w:r>
      <w:r w:rsidR="00D068B4">
        <w:rPr>
          <w:rFonts w:ascii="Times New Roman" w:hAnsi="Times New Roman" w:cs="Times New Roman"/>
          <w:sz w:val="28"/>
          <w:szCs w:val="28"/>
        </w:rPr>
        <w:t xml:space="preserve"> </w:t>
      </w:r>
      <w:r w:rsidR="00D068B4" w:rsidRPr="00D068B4">
        <w:rPr>
          <w:rFonts w:ascii="Times New Roman" w:hAnsi="Times New Roman" w:cs="Times New Roman"/>
          <w:sz w:val="28"/>
          <w:szCs w:val="28"/>
        </w:rPr>
        <w:t>[</w:t>
      </w:r>
      <w:r w:rsidR="00157307">
        <w:rPr>
          <w:rFonts w:ascii="Times New Roman" w:hAnsi="Times New Roman" w:cs="Times New Roman"/>
          <w:sz w:val="28"/>
          <w:szCs w:val="28"/>
        </w:rPr>
        <w:t>7</w:t>
      </w:r>
      <w:r w:rsidR="00D068B4">
        <w:rPr>
          <w:rFonts w:ascii="Times New Roman" w:hAnsi="Times New Roman" w:cs="Times New Roman"/>
          <w:sz w:val="28"/>
          <w:szCs w:val="28"/>
        </w:rPr>
        <w:t>, с. 77</w:t>
      </w:r>
      <w:r w:rsidR="00D068B4" w:rsidRPr="00D068B4">
        <w:rPr>
          <w:rFonts w:ascii="Times New Roman" w:hAnsi="Times New Roman" w:cs="Times New Roman"/>
          <w:sz w:val="28"/>
          <w:szCs w:val="28"/>
        </w:rPr>
        <w:t>]</w:t>
      </w:r>
      <w:r w:rsidRPr="001116CB">
        <w:rPr>
          <w:rFonts w:ascii="Times New Roman" w:hAnsi="Times New Roman" w:cs="Times New Roman"/>
          <w:sz w:val="28"/>
          <w:szCs w:val="28"/>
        </w:rPr>
        <w:t xml:space="preserve">. </w:t>
      </w:r>
      <w:r w:rsidR="006F6329">
        <w:rPr>
          <w:rFonts w:ascii="Times New Roman" w:hAnsi="Times New Roman" w:cs="Times New Roman"/>
          <w:sz w:val="28"/>
          <w:szCs w:val="28"/>
        </w:rPr>
        <w:t xml:space="preserve"> </w:t>
      </w:r>
      <w:r w:rsidR="005E04E8">
        <w:rPr>
          <w:rFonts w:ascii="Times New Roman" w:hAnsi="Times New Roman" w:cs="Times New Roman"/>
          <w:sz w:val="28"/>
          <w:szCs w:val="28"/>
        </w:rPr>
        <w:t>Применимость права следования к праву собственности весьма сомнительна</w:t>
      </w:r>
      <w:r w:rsidR="005E04E8" w:rsidRPr="00CD0F26">
        <w:rPr>
          <w:rFonts w:ascii="Times New Roman" w:hAnsi="Times New Roman" w:cs="Times New Roman"/>
          <w:sz w:val="28"/>
          <w:szCs w:val="28"/>
        </w:rPr>
        <w:t>,</w:t>
      </w:r>
      <w:r w:rsidR="00C33CBB">
        <w:rPr>
          <w:rFonts w:ascii="Times New Roman" w:hAnsi="Times New Roman" w:cs="Times New Roman"/>
          <w:sz w:val="28"/>
          <w:szCs w:val="28"/>
        </w:rPr>
        <w:t xml:space="preserve"> т.к.</w:t>
      </w:r>
      <w:r w:rsidR="005E04E8" w:rsidRPr="00CD0F26">
        <w:rPr>
          <w:rFonts w:ascii="Times New Roman" w:hAnsi="Times New Roman" w:cs="Times New Roman"/>
          <w:sz w:val="28"/>
          <w:szCs w:val="28"/>
        </w:rPr>
        <w:t xml:space="preserve"> сохранение права собственности при его перехо</w:t>
      </w:r>
      <w:r w:rsidR="005E04E8">
        <w:rPr>
          <w:rFonts w:ascii="Times New Roman" w:hAnsi="Times New Roman" w:cs="Times New Roman"/>
          <w:sz w:val="28"/>
          <w:szCs w:val="28"/>
        </w:rPr>
        <w:t>де выглядит немного несуразно</w:t>
      </w:r>
      <w:r w:rsidR="00527AF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E04E8">
        <w:rPr>
          <w:rFonts w:ascii="Times New Roman" w:hAnsi="Times New Roman" w:cs="Times New Roman"/>
          <w:sz w:val="28"/>
          <w:szCs w:val="28"/>
        </w:rPr>
        <w:t>в случае перехода права собственности присутствует</w:t>
      </w:r>
      <w:r w:rsidR="005E04E8" w:rsidRPr="00CD0F26">
        <w:rPr>
          <w:rFonts w:ascii="Times New Roman" w:hAnsi="Times New Roman" w:cs="Times New Roman"/>
          <w:sz w:val="28"/>
          <w:szCs w:val="28"/>
        </w:rPr>
        <w:t xml:space="preserve"> юридический ф</w:t>
      </w:r>
      <w:r w:rsidR="005E04E8">
        <w:rPr>
          <w:rFonts w:ascii="Times New Roman" w:hAnsi="Times New Roman" w:cs="Times New Roman"/>
          <w:sz w:val="28"/>
          <w:szCs w:val="28"/>
        </w:rPr>
        <w:t xml:space="preserve">акт, порождающий </w:t>
      </w:r>
      <w:r w:rsidR="005E04E8" w:rsidRPr="00CD0F26">
        <w:rPr>
          <w:rFonts w:ascii="Times New Roman" w:hAnsi="Times New Roman" w:cs="Times New Roman"/>
          <w:sz w:val="28"/>
          <w:szCs w:val="28"/>
        </w:rPr>
        <w:t>утрату сам</w:t>
      </w:r>
      <w:r w:rsidR="005E04E8">
        <w:rPr>
          <w:rFonts w:ascii="Times New Roman" w:hAnsi="Times New Roman" w:cs="Times New Roman"/>
          <w:sz w:val="28"/>
          <w:szCs w:val="28"/>
        </w:rPr>
        <w:t>ого вещного права, являющегося</w:t>
      </w:r>
      <w:r w:rsidR="005E04E8" w:rsidRPr="00CD0F26">
        <w:rPr>
          <w:rFonts w:ascii="Times New Roman" w:hAnsi="Times New Roman" w:cs="Times New Roman"/>
          <w:sz w:val="28"/>
          <w:szCs w:val="28"/>
        </w:rPr>
        <w:t xml:space="preserve"> основанием права следования. </w:t>
      </w:r>
      <w:r w:rsidR="00527AF4">
        <w:rPr>
          <w:rFonts w:ascii="Times New Roman" w:hAnsi="Times New Roman" w:cs="Times New Roman"/>
          <w:sz w:val="28"/>
          <w:szCs w:val="28"/>
        </w:rPr>
        <w:t>Таким образом,</w:t>
      </w:r>
      <w:r w:rsidR="00213B02">
        <w:rPr>
          <w:rFonts w:ascii="Times New Roman" w:hAnsi="Times New Roman" w:cs="Times New Roman"/>
          <w:sz w:val="28"/>
          <w:szCs w:val="28"/>
        </w:rPr>
        <w:t xml:space="preserve"> </w:t>
      </w:r>
      <w:r w:rsidRPr="001116CB">
        <w:rPr>
          <w:rFonts w:ascii="Times New Roman" w:hAnsi="Times New Roman" w:cs="Times New Roman"/>
          <w:sz w:val="28"/>
          <w:szCs w:val="28"/>
        </w:rPr>
        <w:t>следовани</w:t>
      </w:r>
      <w:r w:rsidR="00527AF4">
        <w:rPr>
          <w:rFonts w:ascii="Times New Roman" w:hAnsi="Times New Roman" w:cs="Times New Roman"/>
          <w:sz w:val="28"/>
          <w:szCs w:val="28"/>
        </w:rPr>
        <w:t>е</w:t>
      </w:r>
      <w:r w:rsidRPr="001116CB">
        <w:rPr>
          <w:rFonts w:ascii="Times New Roman" w:hAnsi="Times New Roman" w:cs="Times New Roman"/>
          <w:sz w:val="28"/>
          <w:szCs w:val="28"/>
        </w:rPr>
        <w:t xml:space="preserve"> не является универсальным признаком вещных прав, он применяется лишь</w:t>
      </w:r>
      <w:r w:rsidR="009D4E79">
        <w:rPr>
          <w:rFonts w:ascii="Times New Roman" w:hAnsi="Times New Roman" w:cs="Times New Roman"/>
          <w:sz w:val="28"/>
          <w:szCs w:val="28"/>
        </w:rPr>
        <w:t xml:space="preserve"> к</w:t>
      </w:r>
      <w:r w:rsidRPr="001116CB">
        <w:rPr>
          <w:rFonts w:ascii="Times New Roman" w:hAnsi="Times New Roman" w:cs="Times New Roman"/>
          <w:sz w:val="28"/>
          <w:szCs w:val="28"/>
        </w:rPr>
        <w:t xml:space="preserve"> </w:t>
      </w:r>
      <w:r w:rsidR="00036374" w:rsidRPr="009D4E79">
        <w:rPr>
          <w:rFonts w:ascii="Times New Roman" w:hAnsi="Times New Roman" w:cs="Times New Roman"/>
          <w:sz w:val="28"/>
          <w:szCs w:val="28"/>
        </w:rPr>
        <w:t>одному</w:t>
      </w:r>
      <w:r w:rsidR="00036374">
        <w:rPr>
          <w:rFonts w:ascii="Times New Roman" w:hAnsi="Times New Roman" w:cs="Times New Roman"/>
          <w:sz w:val="28"/>
          <w:szCs w:val="28"/>
        </w:rPr>
        <w:t xml:space="preserve"> </w:t>
      </w:r>
      <w:r w:rsidRPr="001116CB">
        <w:rPr>
          <w:rFonts w:ascii="Times New Roman" w:hAnsi="Times New Roman" w:cs="Times New Roman"/>
          <w:sz w:val="28"/>
          <w:szCs w:val="28"/>
        </w:rPr>
        <w:t xml:space="preserve">из видов вещных прав – ограниченным вещным правам. </w:t>
      </w:r>
      <w:r w:rsidR="00530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504" w:rsidRPr="00EC58AE" w:rsidRDefault="00AF09C0" w:rsidP="00E74078">
      <w:pPr>
        <w:tabs>
          <w:tab w:val="left" w:pos="382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судебной практике право следования используется судами наиболее часто при разрешении </w:t>
      </w:r>
      <w:r w:rsidRPr="00AF09C0">
        <w:rPr>
          <w:rFonts w:ascii="Times New Roman" w:hAnsi="Times New Roman" w:cs="Times New Roman"/>
          <w:sz w:val="28"/>
          <w:szCs w:val="28"/>
        </w:rPr>
        <w:t>спор</w:t>
      </w:r>
      <w:r>
        <w:rPr>
          <w:rFonts w:ascii="Times New Roman" w:hAnsi="Times New Roman" w:cs="Times New Roman"/>
          <w:sz w:val="28"/>
          <w:szCs w:val="28"/>
        </w:rPr>
        <w:t>ов, связанных с п</w:t>
      </w:r>
      <w:r w:rsidRPr="00AF09C0">
        <w:rPr>
          <w:rFonts w:ascii="Times New Roman" w:hAnsi="Times New Roman" w:cs="Times New Roman"/>
          <w:sz w:val="28"/>
          <w:szCs w:val="28"/>
        </w:rPr>
        <w:t>раво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09C0">
        <w:rPr>
          <w:rFonts w:ascii="Times New Roman" w:hAnsi="Times New Roman" w:cs="Times New Roman"/>
          <w:sz w:val="28"/>
          <w:szCs w:val="28"/>
        </w:rPr>
        <w:t xml:space="preserve"> ограниченного пользования чужим земельным участком (сервитут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F09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E74504" w:rsidRPr="00E74504">
        <w:rPr>
          <w:rFonts w:ascii="Times New Roman" w:hAnsi="Times New Roman" w:cs="Times New Roman"/>
          <w:sz w:val="28"/>
          <w:szCs w:val="28"/>
        </w:rPr>
        <w:t>Решение</w:t>
      </w:r>
      <w:r w:rsidR="00E74504">
        <w:rPr>
          <w:rFonts w:ascii="Times New Roman" w:hAnsi="Times New Roman" w:cs="Times New Roman"/>
          <w:sz w:val="28"/>
          <w:szCs w:val="28"/>
        </w:rPr>
        <w:t xml:space="preserve"> </w:t>
      </w:r>
      <w:r w:rsidR="00E74504" w:rsidRPr="00E74504">
        <w:rPr>
          <w:rFonts w:ascii="Times New Roman" w:hAnsi="Times New Roman" w:cs="Times New Roman"/>
          <w:sz w:val="28"/>
          <w:szCs w:val="28"/>
        </w:rPr>
        <w:t>№ 2-1489/2017 2-1489/2017~М-1398/2017 М-1398/2017 от 20 декабря 2017 г. по делу № 2-1489/2017 Вологодского районного суда Вологодской области</w:t>
      </w:r>
      <w:r w:rsidR="00E74504">
        <w:rPr>
          <w:rFonts w:ascii="Times New Roman" w:hAnsi="Times New Roman" w:cs="Times New Roman"/>
          <w:sz w:val="28"/>
          <w:szCs w:val="28"/>
        </w:rPr>
        <w:t xml:space="preserve">. </w:t>
      </w:r>
      <w:r w:rsidR="00E74504" w:rsidRPr="00E74504">
        <w:rPr>
          <w:rFonts w:ascii="Times New Roman" w:hAnsi="Times New Roman" w:cs="Times New Roman"/>
          <w:sz w:val="28"/>
          <w:szCs w:val="28"/>
        </w:rPr>
        <w:t xml:space="preserve">В суд обратились граждане Чурин О.В. и Никитенко И.А. с иском к Комитету по управлению муниципальным имуществом администрации Вологодского муниципального района, ФГБУ «ФКП Росреестра» по Вологодской области о </w:t>
      </w:r>
      <w:r w:rsidR="00E74504" w:rsidRPr="00E74504">
        <w:rPr>
          <w:rFonts w:ascii="Times New Roman" w:hAnsi="Times New Roman" w:cs="Times New Roman"/>
          <w:sz w:val="28"/>
          <w:szCs w:val="28"/>
        </w:rPr>
        <w:lastRenderedPageBreak/>
        <w:t xml:space="preserve">признании отсутствующим публичного сервитута (обременение для прохода граждан к колодцу за водой и провоза дров к домам), находящегося на земельном участке,  который был приобретен </w:t>
      </w:r>
      <w:r w:rsidR="00E74504">
        <w:rPr>
          <w:rFonts w:ascii="Times New Roman" w:hAnsi="Times New Roman" w:cs="Times New Roman"/>
          <w:sz w:val="28"/>
          <w:szCs w:val="28"/>
        </w:rPr>
        <w:t xml:space="preserve">ими </w:t>
      </w:r>
      <w:r w:rsidR="00E74504" w:rsidRPr="00E74504">
        <w:rPr>
          <w:rFonts w:ascii="Times New Roman" w:hAnsi="Times New Roman" w:cs="Times New Roman"/>
          <w:sz w:val="28"/>
          <w:szCs w:val="28"/>
        </w:rPr>
        <w:t xml:space="preserve">в общую совместную собственность  на основании договора купли-продажи жилого дома и земельного участка. </w:t>
      </w:r>
      <w:r w:rsidR="00B375FF">
        <w:rPr>
          <w:rFonts w:ascii="Times New Roman" w:hAnsi="Times New Roman" w:cs="Times New Roman"/>
          <w:sz w:val="28"/>
          <w:szCs w:val="28"/>
        </w:rPr>
        <w:t xml:space="preserve"> </w:t>
      </w:r>
      <w:r w:rsidR="00E74504">
        <w:rPr>
          <w:rFonts w:ascii="Times New Roman" w:hAnsi="Times New Roman" w:cs="Times New Roman"/>
          <w:sz w:val="28"/>
          <w:szCs w:val="28"/>
        </w:rPr>
        <w:t>С</w:t>
      </w:r>
      <w:r w:rsidR="00E74504" w:rsidRPr="00E74504">
        <w:rPr>
          <w:rFonts w:ascii="Times New Roman" w:hAnsi="Times New Roman" w:cs="Times New Roman"/>
          <w:sz w:val="28"/>
          <w:szCs w:val="28"/>
        </w:rPr>
        <w:t xml:space="preserve">удом установлено, что на момент заключения истцами договора купли-продажи земельного участка, право собственности на земельный участок уже имело обременение - сервитут на часть вышеуказанного участка. В данном примере очень четко прослеживается значение права следования вещных прав при разрешении судебных споров. Судом было установлено, что данное обременение в силу ст. 275 ГК РФ сохранилось и после перехода прав на земельный участок от </w:t>
      </w:r>
      <w:r w:rsidR="00B375FF">
        <w:rPr>
          <w:rFonts w:ascii="Times New Roman" w:hAnsi="Times New Roman" w:cs="Times New Roman"/>
          <w:sz w:val="28"/>
          <w:szCs w:val="28"/>
        </w:rPr>
        <w:t>предыдущего собственника</w:t>
      </w:r>
      <w:r w:rsidR="00E74504" w:rsidRPr="00E74504">
        <w:rPr>
          <w:rFonts w:ascii="Times New Roman" w:hAnsi="Times New Roman" w:cs="Times New Roman"/>
          <w:sz w:val="28"/>
          <w:szCs w:val="28"/>
        </w:rPr>
        <w:t xml:space="preserve"> к истцам. На основании данного положения ГК РФ, в котором проявляется свойство следования вещных прав, суд вынес решение о сохранении обременения земельного участка. Таким образом, можно сказать, что решение суда связано в первую очередь именно с правом следования вещных прав. Право следования является в </w:t>
      </w:r>
      <w:r w:rsidR="00B762C3">
        <w:rPr>
          <w:rFonts w:ascii="Times New Roman" w:hAnsi="Times New Roman" w:cs="Times New Roman"/>
          <w:sz w:val="28"/>
          <w:szCs w:val="28"/>
        </w:rPr>
        <w:t>некоторой</w:t>
      </w:r>
      <w:r w:rsidR="00E74504" w:rsidRPr="00E74504">
        <w:rPr>
          <w:rFonts w:ascii="Times New Roman" w:hAnsi="Times New Roman" w:cs="Times New Roman"/>
          <w:sz w:val="28"/>
          <w:szCs w:val="28"/>
        </w:rPr>
        <w:t xml:space="preserve"> степени защитой прав лиц, не являющихся собственниками имущества. Данный признак гарантирует сохранение их прав при смене собственника</w:t>
      </w:r>
      <w:r w:rsidR="00E74504">
        <w:rPr>
          <w:rFonts w:ascii="Times New Roman" w:hAnsi="Times New Roman" w:cs="Times New Roman"/>
          <w:sz w:val="28"/>
          <w:szCs w:val="28"/>
        </w:rPr>
        <w:t>.</w:t>
      </w:r>
    </w:p>
    <w:p w:rsidR="00F16388" w:rsidRPr="001116CB" w:rsidRDefault="006D789A" w:rsidP="00E74078">
      <w:pPr>
        <w:tabs>
          <w:tab w:val="left" w:pos="382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интересным моментом, встречающимся в судебной практике является признание ограниченных прав за субъектом, которому в силу действующего законодательства данное право не может быть предоставлено. Подобное можно пронаблюдать на примере </w:t>
      </w:r>
      <w:r w:rsidRPr="00D81A0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1A09">
        <w:rPr>
          <w:rFonts w:ascii="Times New Roman" w:hAnsi="Times New Roman" w:cs="Times New Roman"/>
          <w:sz w:val="28"/>
          <w:szCs w:val="28"/>
        </w:rPr>
        <w:t xml:space="preserve"> № 2-5769/2015 2-5769/2015~М-6786/2015 М-6786/2015 от 21 декабря 2015 г. по делу № 2-5769/2015</w:t>
      </w:r>
      <w:r>
        <w:rPr>
          <w:rFonts w:ascii="Times New Roman" w:hAnsi="Times New Roman" w:cs="Times New Roman"/>
          <w:sz w:val="28"/>
          <w:szCs w:val="28"/>
        </w:rPr>
        <w:t xml:space="preserve"> Пятигорского городского суда Ставропольского края.</w:t>
      </w:r>
      <w:r w:rsidR="00361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Судом признано право постоянного пользования на земельный участок за истцами</w:t>
      </w:r>
      <w:r w:rsidR="00361213">
        <w:rPr>
          <w:rFonts w:ascii="Times New Roman" w:hAnsi="Times New Roman" w:cs="Times New Roman"/>
          <w:sz w:val="28"/>
          <w:szCs w:val="28"/>
        </w:rPr>
        <w:t xml:space="preserve">, которым принадлежит на праве собственности жилой дом на основании свидетельства о праве на наследство по закону.  Земельный участок, на котором расположен жилой дом, принадлежал наследодателю на праве постоянного пользования.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D789A">
        <w:rPr>
          <w:rFonts w:ascii="Times New Roman" w:hAnsi="Times New Roman" w:cs="Times New Roman"/>
          <w:sz w:val="28"/>
          <w:szCs w:val="28"/>
        </w:rPr>
        <w:t xml:space="preserve">.2 ст. 39.9 ЗК РФ устанавливает исчерпывающий перечень субъектов, которым данное право может быть предоставлено, физические лица </w:t>
      </w:r>
      <w:r w:rsidRPr="006D789A">
        <w:rPr>
          <w:rFonts w:ascii="Times New Roman" w:hAnsi="Times New Roman" w:cs="Times New Roman"/>
          <w:sz w:val="28"/>
          <w:szCs w:val="28"/>
        </w:rPr>
        <w:lastRenderedPageBreak/>
        <w:t>данными субъектами не являются</w:t>
      </w:r>
      <w:r w:rsidR="00BB1982">
        <w:rPr>
          <w:rFonts w:ascii="Times New Roman" w:hAnsi="Times New Roman" w:cs="Times New Roman"/>
          <w:sz w:val="28"/>
          <w:szCs w:val="28"/>
        </w:rPr>
        <w:t>, т</w:t>
      </w:r>
      <w:r w:rsidRPr="006D789A">
        <w:rPr>
          <w:rFonts w:ascii="Times New Roman" w:hAnsi="Times New Roman" w:cs="Times New Roman"/>
          <w:sz w:val="28"/>
          <w:szCs w:val="28"/>
        </w:rPr>
        <w:t>.е. в силу действующего ЗК РФ гражданин не является субъектом права постоянного (бессрочного) пользования</w:t>
      </w:r>
      <w:r w:rsidR="00361213">
        <w:rPr>
          <w:rFonts w:ascii="Times New Roman" w:hAnsi="Times New Roman" w:cs="Times New Roman"/>
          <w:sz w:val="28"/>
          <w:szCs w:val="28"/>
        </w:rPr>
        <w:t>.</w:t>
      </w:r>
      <w:r w:rsidRPr="006D789A">
        <w:rPr>
          <w:rFonts w:ascii="Times New Roman" w:hAnsi="Times New Roman" w:cs="Times New Roman"/>
          <w:sz w:val="28"/>
          <w:szCs w:val="28"/>
        </w:rPr>
        <w:t xml:space="preserve"> </w:t>
      </w:r>
      <w:r w:rsidR="00361213">
        <w:rPr>
          <w:rFonts w:ascii="Times New Roman" w:hAnsi="Times New Roman" w:cs="Times New Roman"/>
          <w:sz w:val="28"/>
          <w:szCs w:val="28"/>
        </w:rPr>
        <w:t>Однако,</w:t>
      </w:r>
      <w:r w:rsidRPr="006D789A">
        <w:rPr>
          <w:rFonts w:ascii="Times New Roman" w:hAnsi="Times New Roman" w:cs="Times New Roman"/>
          <w:sz w:val="28"/>
          <w:szCs w:val="28"/>
        </w:rPr>
        <w:t xml:space="preserve"> понятие «предоставление земельного участка» может быть распространено только на случаи первичного получения земли. В данном же случае речь идет о перерегистрации, переоформлении прав владения и пользования земельным участком, ранее предоставленного гражданину и уже реально владеющего им.</w:t>
      </w:r>
      <w:r w:rsidR="00BB1982">
        <w:rPr>
          <w:rFonts w:ascii="Times New Roman" w:hAnsi="Times New Roman" w:cs="Times New Roman"/>
          <w:sz w:val="28"/>
          <w:szCs w:val="28"/>
        </w:rPr>
        <w:t xml:space="preserve"> </w:t>
      </w:r>
      <w:r w:rsidRPr="006D789A">
        <w:rPr>
          <w:rFonts w:ascii="Times New Roman" w:hAnsi="Times New Roman" w:cs="Times New Roman"/>
          <w:sz w:val="28"/>
          <w:szCs w:val="28"/>
        </w:rPr>
        <w:t>Отсюда можно сделать вывод, право следования сохраняет при смене собственника и те ограниченные вещные права на имущество, которые в силу действующего законодательства не могут быть установлены.</w:t>
      </w:r>
    </w:p>
    <w:p w:rsidR="00480EFF" w:rsidRDefault="006B16EE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</w:t>
      </w:r>
      <w:r w:rsidR="001116CB" w:rsidRPr="001116CB">
        <w:rPr>
          <w:rFonts w:ascii="Times New Roman" w:hAnsi="Times New Roman" w:cs="Times New Roman"/>
          <w:sz w:val="28"/>
          <w:szCs w:val="28"/>
        </w:rPr>
        <w:t xml:space="preserve">подведем итоги. </w:t>
      </w:r>
      <w:r w:rsidR="00480E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67C" w:rsidRDefault="001116CB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6CB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70172B">
        <w:rPr>
          <w:rFonts w:ascii="Times New Roman" w:hAnsi="Times New Roman" w:cs="Times New Roman"/>
          <w:sz w:val="28"/>
          <w:szCs w:val="28"/>
        </w:rPr>
        <w:t>несмотря на то, что</w:t>
      </w:r>
      <w:r w:rsidRPr="001116CB">
        <w:rPr>
          <w:rFonts w:ascii="Times New Roman" w:hAnsi="Times New Roman" w:cs="Times New Roman"/>
          <w:sz w:val="28"/>
          <w:szCs w:val="28"/>
        </w:rPr>
        <w:t xml:space="preserve"> в ГК РФ и установлен данный признак, отсутствует конкретное закрепление именно понятия «право следования», что порождает </w:t>
      </w:r>
      <w:proofErr w:type="spellStart"/>
      <w:r w:rsidRPr="001116CB">
        <w:rPr>
          <w:rFonts w:ascii="Times New Roman" w:hAnsi="Times New Roman" w:cs="Times New Roman"/>
          <w:sz w:val="28"/>
          <w:szCs w:val="28"/>
        </w:rPr>
        <w:t>множественнность</w:t>
      </w:r>
      <w:proofErr w:type="spellEnd"/>
      <w:r w:rsidRPr="001116CB">
        <w:rPr>
          <w:rFonts w:ascii="Times New Roman" w:hAnsi="Times New Roman" w:cs="Times New Roman"/>
          <w:sz w:val="28"/>
          <w:szCs w:val="28"/>
        </w:rPr>
        <w:t xml:space="preserve"> терминов, </w:t>
      </w:r>
      <w:proofErr w:type="spellStart"/>
      <w:r w:rsidRPr="001116CB">
        <w:rPr>
          <w:rFonts w:ascii="Times New Roman" w:hAnsi="Times New Roman" w:cs="Times New Roman"/>
          <w:sz w:val="28"/>
          <w:szCs w:val="28"/>
        </w:rPr>
        <w:t>дифиниций</w:t>
      </w:r>
      <w:proofErr w:type="spellEnd"/>
      <w:r w:rsidRPr="001116CB">
        <w:rPr>
          <w:rFonts w:ascii="Times New Roman" w:hAnsi="Times New Roman" w:cs="Times New Roman"/>
          <w:sz w:val="28"/>
          <w:szCs w:val="28"/>
        </w:rPr>
        <w:t xml:space="preserve"> и расхождения в понимании данного явления</w:t>
      </w:r>
      <w:r w:rsidR="009D4E79">
        <w:rPr>
          <w:rFonts w:ascii="Times New Roman" w:hAnsi="Times New Roman" w:cs="Times New Roman"/>
          <w:sz w:val="28"/>
          <w:szCs w:val="28"/>
        </w:rPr>
        <w:t xml:space="preserve">. </w:t>
      </w:r>
      <w:r w:rsidR="0091777D">
        <w:rPr>
          <w:rFonts w:ascii="Times New Roman" w:hAnsi="Times New Roman" w:cs="Times New Roman"/>
          <w:sz w:val="28"/>
          <w:szCs w:val="28"/>
        </w:rPr>
        <w:t>В</w:t>
      </w:r>
      <w:r w:rsidRPr="001116CB">
        <w:rPr>
          <w:rFonts w:ascii="Times New Roman" w:hAnsi="Times New Roman" w:cs="Times New Roman"/>
          <w:sz w:val="28"/>
          <w:szCs w:val="28"/>
        </w:rPr>
        <w:t xml:space="preserve"> научном сообществе нет единого мнения на счет того, стоит ли выделять право следования в качестве отдельного признака вещных прав или целесообразно относить данный признак к элементу абсолютного характера вещных прав</w:t>
      </w:r>
      <w:r w:rsidR="00F6367C">
        <w:rPr>
          <w:rFonts w:ascii="Times New Roman" w:hAnsi="Times New Roman" w:cs="Times New Roman"/>
          <w:sz w:val="28"/>
          <w:szCs w:val="28"/>
        </w:rPr>
        <w:t>.</w:t>
      </w:r>
    </w:p>
    <w:p w:rsidR="001116CB" w:rsidRDefault="00F6367C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1116CB" w:rsidRPr="001116CB">
        <w:rPr>
          <w:rFonts w:ascii="Times New Roman" w:hAnsi="Times New Roman" w:cs="Times New Roman"/>
          <w:sz w:val="28"/>
          <w:szCs w:val="28"/>
        </w:rPr>
        <w:t>право следования заявляется как признак вещных прав, при этом универсальность данного признака под большим вопросом. Большинство ученых, занимающихся исследованием вещных прав считают, что этот признак свойственен лишь ограниченным вещным правам</w:t>
      </w:r>
      <w:r w:rsidR="005E04E8">
        <w:rPr>
          <w:rFonts w:ascii="Times New Roman" w:hAnsi="Times New Roman" w:cs="Times New Roman"/>
          <w:sz w:val="28"/>
          <w:szCs w:val="28"/>
        </w:rPr>
        <w:t>.</w:t>
      </w:r>
    </w:p>
    <w:p w:rsidR="00690765" w:rsidRDefault="00802EC7" w:rsidP="00E740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="00F6367C">
        <w:rPr>
          <w:rFonts w:ascii="Times New Roman" w:hAnsi="Times New Roman" w:cs="Times New Roman"/>
          <w:sz w:val="28"/>
          <w:szCs w:val="28"/>
        </w:rPr>
        <w:t>третьих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70F1">
        <w:rPr>
          <w:rFonts w:ascii="Times New Roman" w:hAnsi="Times New Roman" w:cs="Times New Roman"/>
          <w:sz w:val="28"/>
          <w:szCs w:val="28"/>
        </w:rPr>
        <w:t>право следования имеет большое значение при разрешении спо</w:t>
      </w:r>
      <w:r w:rsidR="00ED738F">
        <w:rPr>
          <w:rFonts w:ascii="Times New Roman" w:hAnsi="Times New Roman" w:cs="Times New Roman"/>
          <w:sz w:val="28"/>
          <w:szCs w:val="28"/>
        </w:rPr>
        <w:t xml:space="preserve">ров, </w:t>
      </w:r>
      <w:r w:rsidR="00ED738F" w:rsidRPr="00ED738F">
        <w:rPr>
          <w:rFonts w:ascii="Times New Roman" w:hAnsi="Times New Roman" w:cs="Times New Roman"/>
          <w:sz w:val="28"/>
          <w:szCs w:val="28"/>
        </w:rPr>
        <w:t>связанных с правом ограниченного пользования чужим земельным участком</w:t>
      </w:r>
      <w:r w:rsidR="00ED738F">
        <w:rPr>
          <w:rFonts w:ascii="Times New Roman" w:hAnsi="Times New Roman" w:cs="Times New Roman"/>
          <w:sz w:val="28"/>
          <w:szCs w:val="28"/>
        </w:rPr>
        <w:t xml:space="preserve">. </w:t>
      </w:r>
      <w:r w:rsidR="00690765" w:rsidRPr="00690765">
        <w:rPr>
          <w:rFonts w:ascii="Times New Roman" w:hAnsi="Times New Roman" w:cs="Times New Roman"/>
          <w:sz w:val="28"/>
          <w:szCs w:val="28"/>
        </w:rPr>
        <w:t>Право следования защищает права ограниченного пользования лиц, не являющихся собственниками имущества при смене собственника этого имущества.</w:t>
      </w:r>
    </w:p>
    <w:p w:rsidR="002946BF" w:rsidRDefault="00690765" w:rsidP="00887DC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В-четвертых, </w:t>
      </w:r>
      <w:r w:rsidR="00ED738F">
        <w:rPr>
          <w:rFonts w:ascii="Times New Roman" w:hAnsi="Times New Roman" w:cs="Times New Roman"/>
          <w:sz w:val="28"/>
          <w:szCs w:val="28"/>
        </w:rPr>
        <w:t>в</w:t>
      </w:r>
      <w:r w:rsidR="00802EC7" w:rsidRPr="00802EC7">
        <w:rPr>
          <w:rFonts w:ascii="Times New Roman" w:hAnsi="Times New Roman" w:cs="Times New Roman"/>
          <w:sz w:val="28"/>
          <w:szCs w:val="28"/>
        </w:rPr>
        <w:t xml:space="preserve"> некоторых случаях на основании права следования может быть установлено в судебном порядке ограниченное вещное право, которое на основании действующего законодательства не может быть установлено, но предыдущему собственнику оно принадлежало. Т.е. право следования </w:t>
      </w:r>
      <w:r w:rsidR="00802EC7" w:rsidRPr="00802EC7">
        <w:rPr>
          <w:rFonts w:ascii="Times New Roman" w:hAnsi="Times New Roman" w:cs="Times New Roman"/>
          <w:sz w:val="28"/>
          <w:szCs w:val="28"/>
        </w:rPr>
        <w:lastRenderedPageBreak/>
        <w:t>сохраняет при смене собственника и те ограниченные вещные права на имущество, которые в силу действующего законодательства не могут быть установлены.</w:t>
      </w:r>
    </w:p>
    <w:p w:rsidR="006B6D4B" w:rsidRPr="00887DC7" w:rsidRDefault="00215AAB" w:rsidP="00887D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AB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6B6D4B" w:rsidRPr="00DA2B49" w:rsidRDefault="006B6D4B" w:rsidP="00887DC7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3A16">
        <w:rPr>
          <w:rFonts w:ascii="Times New Roman" w:hAnsi="Times New Roman" w:cs="Times New Roman"/>
          <w:sz w:val="28"/>
          <w:szCs w:val="28"/>
        </w:rPr>
        <w:t>Ахметьянова</w:t>
      </w:r>
      <w:proofErr w:type="spellEnd"/>
      <w:r w:rsidRPr="00B03A16">
        <w:rPr>
          <w:rFonts w:ascii="Times New Roman" w:hAnsi="Times New Roman" w:cs="Times New Roman"/>
          <w:sz w:val="28"/>
          <w:szCs w:val="28"/>
        </w:rPr>
        <w:t xml:space="preserve"> З.А. Вещное право: Учебник. — М.: Статут, 2011 – 189 с.</w:t>
      </w:r>
      <w:r w:rsidRPr="009C3EEC">
        <w:t xml:space="preserve"> </w:t>
      </w:r>
      <w:r>
        <w:t xml:space="preserve"> </w:t>
      </w:r>
      <w:r w:rsidR="002C2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D4B" w:rsidRDefault="006B6D4B" w:rsidP="00887DC7">
      <w:pPr>
        <w:pStyle w:val="a3"/>
        <w:numPr>
          <w:ilvl w:val="0"/>
          <w:numId w:val="1"/>
        </w:num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B49">
        <w:rPr>
          <w:rFonts w:ascii="Times New Roman" w:hAnsi="Times New Roman" w:cs="Times New Roman"/>
          <w:sz w:val="28"/>
          <w:szCs w:val="28"/>
        </w:rPr>
        <w:t xml:space="preserve">Васильев В.В.  Признаки вещных прав: проблемы и пути научного разрешения </w:t>
      </w:r>
      <w:r w:rsidR="00C04B05" w:rsidRPr="00C04B0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C04B05">
        <w:rPr>
          <w:rFonts w:ascii="Times New Roman" w:hAnsi="Times New Roman" w:cs="Times New Roman"/>
          <w:sz w:val="28"/>
          <w:szCs w:val="28"/>
        </w:rPr>
        <w:t xml:space="preserve">. - Режим </w:t>
      </w:r>
      <w:proofErr w:type="gramStart"/>
      <w:r w:rsidR="00C04B05">
        <w:rPr>
          <w:rFonts w:ascii="Times New Roman" w:hAnsi="Times New Roman" w:cs="Times New Roman"/>
          <w:sz w:val="28"/>
          <w:szCs w:val="28"/>
        </w:rPr>
        <w:t>доступа</w:t>
      </w:r>
      <w:r w:rsidRPr="00DA2B49">
        <w:rPr>
          <w:rFonts w:ascii="Times New Roman" w:hAnsi="Times New Roman" w:cs="Times New Roman"/>
          <w:sz w:val="28"/>
          <w:szCs w:val="28"/>
        </w:rPr>
        <w:t xml:space="preserve">:  </w:t>
      </w:r>
      <w:r w:rsidRPr="000C420F">
        <w:rPr>
          <w:rFonts w:ascii="Times New Roman" w:hAnsi="Times New Roman" w:cs="Times New Roman"/>
          <w:sz w:val="28"/>
          <w:szCs w:val="28"/>
        </w:rPr>
        <w:t>https://cyberleninka.ru/article/v/4-1-priznaki-veschnyh-prav-problemy-i-puti-nauchnogo-razresheniya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B49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E7865">
        <w:rPr>
          <w:rFonts w:ascii="Times New Roman" w:hAnsi="Times New Roman" w:cs="Times New Roman"/>
          <w:sz w:val="28"/>
          <w:szCs w:val="28"/>
        </w:rPr>
        <w:t>2</w:t>
      </w:r>
      <w:r w:rsidR="00C04B05">
        <w:rPr>
          <w:rFonts w:ascii="Times New Roman" w:hAnsi="Times New Roman" w:cs="Times New Roman"/>
          <w:sz w:val="28"/>
          <w:szCs w:val="28"/>
        </w:rPr>
        <w:t>0</w:t>
      </w:r>
      <w:r w:rsidRPr="00DA2B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A2B4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2B49">
        <w:rPr>
          <w:rFonts w:ascii="Times New Roman" w:hAnsi="Times New Roman" w:cs="Times New Roman"/>
          <w:sz w:val="28"/>
          <w:szCs w:val="28"/>
        </w:rPr>
        <w:t>).</w:t>
      </w:r>
    </w:p>
    <w:p w:rsidR="00887DC7" w:rsidRPr="00887DC7" w:rsidRDefault="00887DC7" w:rsidP="00887DC7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2341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Федерации. Часть первая от 30.11.1994 г. № 51-ФЗ принят Гос. Думой </w:t>
      </w:r>
      <w:proofErr w:type="spellStart"/>
      <w:r w:rsidRPr="002C2341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2C2341">
        <w:rPr>
          <w:rFonts w:ascii="Times New Roman" w:hAnsi="Times New Roman" w:cs="Times New Roman"/>
          <w:sz w:val="28"/>
          <w:szCs w:val="28"/>
        </w:rPr>
        <w:t xml:space="preserve">. Собр. Рос. Федерации 21 окт. 1994 </w:t>
      </w:r>
      <w:proofErr w:type="gramStart"/>
      <w:r w:rsidRPr="002C234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3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C2341">
        <w:rPr>
          <w:rFonts w:ascii="Times New Roman" w:hAnsi="Times New Roman" w:cs="Times New Roman"/>
          <w:sz w:val="28"/>
          <w:szCs w:val="28"/>
        </w:rPr>
        <w:t xml:space="preserve"> ввод. </w:t>
      </w:r>
      <w:proofErr w:type="spellStart"/>
      <w:r w:rsidRPr="002C2341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2C2341">
        <w:rPr>
          <w:rFonts w:ascii="Times New Roman" w:hAnsi="Times New Roman" w:cs="Times New Roman"/>
          <w:sz w:val="28"/>
          <w:szCs w:val="28"/>
        </w:rPr>
        <w:t>. законом Рос. Федерации от 30 ноя. 1994 г. №52-ФЗ // Рос. газета. - 1994. - 8 декабря</w:t>
      </w:r>
    </w:p>
    <w:p w:rsidR="006B6D4B" w:rsidRDefault="006B6D4B" w:rsidP="00887DC7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2B49">
        <w:rPr>
          <w:rFonts w:ascii="Times New Roman" w:hAnsi="Times New Roman" w:cs="Times New Roman"/>
          <w:sz w:val="28"/>
          <w:szCs w:val="28"/>
        </w:rPr>
        <w:t xml:space="preserve">Петрушкин В.А. Актуальные проблемы правовой модели системы оборота недвижимости: Монография / Науч. ред. В.В. </w:t>
      </w:r>
      <w:proofErr w:type="spellStart"/>
      <w:r w:rsidRPr="00DA2B49">
        <w:rPr>
          <w:rFonts w:ascii="Times New Roman" w:hAnsi="Times New Roman" w:cs="Times New Roman"/>
          <w:sz w:val="28"/>
          <w:szCs w:val="28"/>
        </w:rPr>
        <w:t>Витрянск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2B49">
        <w:rPr>
          <w:rFonts w:ascii="Times New Roman" w:hAnsi="Times New Roman" w:cs="Times New Roman"/>
          <w:sz w:val="28"/>
          <w:szCs w:val="28"/>
        </w:rPr>
        <w:t xml:space="preserve">. - М.: Статут, 2014. – 285 с. </w:t>
      </w:r>
      <w:r w:rsidR="004E7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DC7" w:rsidRPr="00A26291" w:rsidRDefault="00887DC7" w:rsidP="00887DC7">
      <w:pPr>
        <w:pStyle w:val="a6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6291">
        <w:rPr>
          <w:rFonts w:ascii="Times New Roman" w:hAnsi="Times New Roman" w:cs="Times New Roman"/>
          <w:sz w:val="28"/>
          <w:szCs w:val="28"/>
        </w:rPr>
        <w:t>Решение Вологодского районного суда Вологодской области от 20 декабря 2017 г. по делу № 2-1489/2017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6291">
        <w:rPr>
          <w:rFonts w:ascii="Times New Roman" w:hAnsi="Times New Roman" w:cs="Times New Roman"/>
          <w:sz w:val="28"/>
          <w:szCs w:val="28"/>
        </w:rPr>
        <w:t>URL: http://sudact.ru/regular/doc/lP15KbUoWQoZ/</w:t>
      </w:r>
    </w:p>
    <w:p w:rsidR="00887DC7" w:rsidRPr="00887DC7" w:rsidRDefault="00887DC7" w:rsidP="00887DC7">
      <w:pPr>
        <w:pStyle w:val="a6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D0ECB">
        <w:rPr>
          <w:rFonts w:ascii="Times New Roman" w:hAnsi="Times New Roman" w:cs="Times New Roman"/>
          <w:sz w:val="28"/>
          <w:szCs w:val="28"/>
        </w:rPr>
        <w:t xml:space="preserve">Решение Пятигорского городского суда Ставропольского края от 21 декабря 2015 г. по делу № 2-5769/2015. URL: </w:t>
      </w:r>
      <w:r w:rsidRPr="00ED60E6">
        <w:rPr>
          <w:rFonts w:ascii="Times New Roman" w:hAnsi="Times New Roman" w:cs="Times New Roman"/>
          <w:sz w:val="28"/>
          <w:szCs w:val="28"/>
        </w:rPr>
        <w:t>http://sudact.ru/regular/doc/tjNcsbeByVNt/</w:t>
      </w:r>
    </w:p>
    <w:p w:rsidR="00C84907" w:rsidRPr="00887DC7" w:rsidRDefault="006B6D4B" w:rsidP="00887DC7">
      <w:pPr>
        <w:pStyle w:val="a3"/>
        <w:numPr>
          <w:ilvl w:val="0"/>
          <w:numId w:val="1"/>
        </w:num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3A3">
        <w:rPr>
          <w:rFonts w:ascii="Times New Roman" w:hAnsi="Times New Roman" w:cs="Times New Roman"/>
          <w:sz w:val="28"/>
          <w:szCs w:val="28"/>
        </w:rPr>
        <w:t>Синицын С.А. Вещное право: традиции, новеллы, тенденции развития // Журна</w:t>
      </w:r>
      <w:r>
        <w:rPr>
          <w:rFonts w:ascii="Times New Roman" w:hAnsi="Times New Roman" w:cs="Times New Roman"/>
          <w:sz w:val="28"/>
          <w:szCs w:val="28"/>
        </w:rPr>
        <w:t xml:space="preserve">л российского права. 2014 - </w:t>
      </w:r>
      <w:r w:rsidRPr="005F23A3">
        <w:rPr>
          <w:rFonts w:ascii="Times New Roman" w:hAnsi="Times New Roman" w:cs="Times New Roman"/>
          <w:sz w:val="28"/>
          <w:szCs w:val="28"/>
        </w:rPr>
        <w:t>N 9</w:t>
      </w:r>
      <w:r>
        <w:rPr>
          <w:rFonts w:ascii="Times New Roman" w:hAnsi="Times New Roman" w:cs="Times New Roman"/>
          <w:sz w:val="28"/>
          <w:szCs w:val="28"/>
        </w:rPr>
        <w:t xml:space="preserve"> - С.76-93 </w:t>
      </w:r>
      <w:r w:rsidR="004E7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A57" w:rsidRDefault="006C4A57" w:rsidP="00E74078">
      <w:pPr>
        <w:pStyle w:val="a6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C4A57" w:rsidRDefault="006C4A57" w:rsidP="006C4A57">
      <w:pPr>
        <w:pStyle w:val="a6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C4A57" w:rsidRDefault="00F6367C" w:rsidP="006C4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4A57" w:rsidRDefault="006C4A57" w:rsidP="006C4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A57" w:rsidRDefault="00F6367C" w:rsidP="006C4A5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4A57" w:rsidRPr="00AD0ECB" w:rsidRDefault="006C4A57" w:rsidP="006C4A57">
      <w:pPr>
        <w:pStyle w:val="a6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6C4A57" w:rsidRPr="00AD0ECB" w:rsidSect="00F43920">
      <w:footerReference w:type="default" r:id="rId7"/>
      <w:pgSz w:w="11906" w:h="16838"/>
      <w:pgMar w:top="1134" w:right="1134" w:bottom="1134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608" w:rsidRDefault="00526608" w:rsidP="001116CB">
      <w:pPr>
        <w:spacing w:after="0" w:line="240" w:lineRule="auto"/>
      </w:pPr>
      <w:r>
        <w:separator/>
      </w:r>
    </w:p>
  </w:endnote>
  <w:endnote w:type="continuationSeparator" w:id="0">
    <w:p w:rsidR="00526608" w:rsidRDefault="00526608" w:rsidP="0011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953626"/>
      <w:docPartObj>
        <w:docPartGallery w:val="Page Numbers (Bottom of Page)"/>
        <w:docPartUnique/>
      </w:docPartObj>
    </w:sdtPr>
    <w:sdtEndPr/>
    <w:sdtContent>
      <w:p w:rsidR="00F6367C" w:rsidRDefault="00F636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0A5F" w:rsidRDefault="00CF0A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608" w:rsidRDefault="00526608" w:rsidP="001116CB">
      <w:pPr>
        <w:spacing w:after="0" w:line="240" w:lineRule="auto"/>
      </w:pPr>
      <w:r>
        <w:separator/>
      </w:r>
    </w:p>
  </w:footnote>
  <w:footnote w:type="continuationSeparator" w:id="0">
    <w:p w:rsidR="00526608" w:rsidRDefault="00526608" w:rsidP="00111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1035D"/>
    <w:multiLevelType w:val="hybridMultilevel"/>
    <w:tmpl w:val="25E894F8"/>
    <w:lvl w:ilvl="0" w:tplc="04190011">
      <w:start w:val="1"/>
      <w:numFmt w:val="decimal"/>
      <w:lvlText w:val="%1)"/>
      <w:lvlJc w:val="left"/>
      <w:pPr>
        <w:ind w:left="1418" w:hanging="284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536"/>
    <w:rsid w:val="00000A41"/>
    <w:rsid w:val="000226BA"/>
    <w:rsid w:val="0002659E"/>
    <w:rsid w:val="00036374"/>
    <w:rsid w:val="00040F0F"/>
    <w:rsid w:val="00042E61"/>
    <w:rsid w:val="00043536"/>
    <w:rsid w:val="00073DA0"/>
    <w:rsid w:val="00095ED4"/>
    <w:rsid w:val="000C420F"/>
    <w:rsid w:val="000F6BE3"/>
    <w:rsid w:val="00101634"/>
    <w:rsid w:val="001116CB"/>
    <w:rsid w:val="00151910"/>
    <w:rsid w:val="00157307"/>
    <w:rsid w:val="0016274C"/>
    <w:rsid w:val="001828CE"/>
    <w:rsid w:val="00182B6E"/>
    <w:rsid w:val="001A0CC4"/>
    <w:rsid w:val="001A1618"/>
    <w:rsid w:val="001A1E2C"/>
    <w:rsid w:val="001F737A"/>
    <w:rsid w:val="00213B02"/>
    <w:rsid w:val="00215AAB"/>
    <w:rsid w:val="002375C4"/>
    <w:rsid w:val="002413E7"/>
    <w:rsid w:val="002623C2"/>
    <w:rsid w:val="00283254"/>
    <w:rsid w:val="002946BF"/>
    <w:rsid w:val="002A32DF"/>
    <w:rsid w:val="002B3E4A"/>
    <w:rsid w:val="002C2341"/>
    <w:rsid w:val="002D448F"/>
    <w:rsid w:val="00346ADA"/>
    <w:rsid w:val="00361213"/>
    <w:rsid w:val="00362E03"/>
    <w:rsid w:val="00374107"/>
    <w:rsid w:val="00374364"/>
    <w:rsid w:val="00396D3A"/>
    <w:rsid w:val="003E0CD9"/>
    <w:rsid w:val="00415E59"/>
    <w:rsid w:val="004667F9"/>
    <w:rsid w:val="00480EFF"/>
    <w:rsid w:val="00483DCC"/>
    <w:rsid w:val="004D54C1"/>
    <w:rsid w:val="004D6318"/>
    <w:rsid w:val="004E5F4A"/>
    <w:rsid w:val="004E7865"/>
    <w:rsid w:val="004F0693"/>
    <w:rsid w:val="00526608"/>
    <w:rsid w:val="00527AF4"/>
    <w:rsid w:val="0053049F"/>
    <w:rsid w:val="005B74B5"/>
    <w:rsid w:val="005B7704"/>
    <w:rsid w:val="005D0C9B"/>
    <w:rsid w:val="005D1414"/>
    <w:rsid w:val="005E04E8"/>
    <w:rsid w:val="005F77B6"/>
    <w:rsid w:val="005F7D42"/>
    <w:rsid w:val="00646E1D"/>
    <w:rsid w:val="00661E0C"/>
    <w:rsid w:val="00690765"/>
    <w:rsid w:val="0069283F"/>
    <w:rsid w:val="006B16EE"/>
    <w:rsid w:val="006B6D4B"/>
    <w:rsid w:val="006C4A57"/>
    <w:rsid w:val="006D789A"/>
    <w:rsid w:val="006F6329"/>
    <w:rsid w:val="0070172B"/>
    <w:rsid w:val="00704197"/>
    <w:rsid w:val="00732DF0"/>
    <w:rsid w:val="00751BB0"/>
    <w:rsid w:val="00757749"/>
    <w:rsid w:val="007B719C"/>
    <w:rsid w:val="007F6010"/>
    <w:rsid w:val="00802EC7"/>
    <w:rsid w:val="00845DA1"/>
    <w:rsid w:val="0085050F"/>
    <w:rsid w:val="0086718F"/>
    <w:rsid w:val="00887DC7"/>
    <w:rsid w:val="0089184E"/>
    <w:rsid w:val="00891958"/>
    <w:rsid w:val="008B725D"/>
    <w:rsid w:val="008E259F"/>
    <w:rsid w:val="008F15EF"/>
    <w:rsid w:val="008F3155"/>
    <w:rsid w:val="00903E71"/>
    <w:rsid w:val="00907E73"/>
    <w:rsid w:val="009175A3"/>
    <w:rsid w:val="0091777D"/>
    <w:rsid w:val="00926A05"/>
    <w:rsid w:val="00930B41"/>
    <w:rsid w:val="00960478"/>
    <w:rsid w:val="009B4D29"/>
    <w:rsid w:val="009B5CEB"/>
    <w:rsid w:val="009D0D9C"/>
    <w:rsid w:val="009D4E79"/>
    <w:rsid w:val="009D5CB5"/>
    <w:rsid w:val="00A1502B"/>
    <w:rsid w:val="00A26291"/>
    <w:rsid w:val="00A31077"/>
    <w:rsid w:val="00A4122D"/>
    <w:rsid w:val="00A470E8"/>
    <w:rsid w:val="00A704BC"/>
    <w:rsid w:val="00A927F7"/>
    <w:rsid w:val="00AA2954"/>
    <w:rsid w:val="00AB61B5"/>
    <w:rsid w:val="00AB7C56"/>
    <w:rsid w:val="00AD0ECB"/>
    <w:rsid w:val="00AE2645"/>
    <w:rsid w:val="00AF09C0"/>
    <w:rsid w:val="00AF50A0"/>
    <w:rsid w:val="00B04CA7"/>
    <w:rsid w:val="00B15B03"/>
    <w:rsid w:val="00B27CA9"/>
    <w:rsid w:val="00B31A7D"/>
    <w:rsid w:val="00B375FF"/>
    <w:rsid w:val="00B46533"/>
    <w:rsid w:val="00B47E1D"/>
    <w:rsid w:val="00B762C3"/>
    <w:rsid w:val="00BB1982"/>
    <w:rsid w:val="00BB6C48"/>
    <w:rsid w:val="00BC1649"/>
    <w:rsid w:val="00BF612A"/>
    <w:rsid w:val="00C04B05"/>
    <w:rsid w:val="00C15115"/>
    <w:rsid w:val="00C23E62"/>
    <w:rsid w:val="00C33CBB"/>
    <w:rsid w:val="00C52A3A"/>
    <w:rsid w:val="00C84907"/>
    <w:rsid w:val="00CC575D"/>
    <w:rsid w:val="00CC6DDD"/>
    <w:rsid w:val="00CD4269"/>
    <w:rsid w:val="00CD7EB1"/>
    <w:rsid w:val="00CE7BCE"/>
    <w:rsid w:val="00CF0897"/>
    <w:rsid w:val="00CF0A5F"/>
    <w:rsid w:val="00CF79C0"/>
    <w:rsid w:val="00D0547B"/>
    <w:rsid w:val="00D068B4"/>
    <w:rsid w:val="00D32A72"/>
    <w:rsid w:val="00D816D8"/>
    <w:rsid w:val="00DD3024"/>
    <w:rsid w:val="00DD3D21"/>
    <w:rsid w:val="00E43DCE"/>
    <w:rsid w:val="00E65230"/>
    <w:rsid w:val="00E74078"/>
    <w:rsid w:val="00E74504"/>
    <w:rsid w:val="00E819A6"/>
    <w:rsid w:val="00E84834"/>
    <w:rsid w:val="00EC58AE"/>
    <w:rsid w:val="00ED60E6"/>
    <w:rsid w:val="00ED738F"/>
    <w:rsid w:val="00ED7B43"/>
    <w:rsid w:val="00EE2A80"/>
    <w:rsid w:val="00F16388"/>
    <w:rsid w:val="00F43920"/>
    <w:rsid w:val="00F470F1"/>
    <w:rsid w:val="00F54621"/>
    <w:rsid w:val="00F6367C"/>
    <w:rsid w:val="00F94679"/>
    <w:rsid w:val="00FA0A9A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EE90"/>
  <w15:docId w15:val="{9237E164-B5A9-4F80-B68C-D020FF44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116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116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116CB"/>
    <w:rPr>
      <w:vertAlign w:val="superscript"/>
    </w:rPr>
  </w:style>
  <w:style w:type="paragraph" w:styleId="a6">
    <w:name w:val="List Paragraph"/>
    <w:basedOn w:val="a"/>
    <w:uiPriority w:val="34"/>
    <w:qFormat/>
    <w:rsid w:val="006B6D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B6D4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6D4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F0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0A5F"/>
  </w:style>
  <w:style w:type="paragraph" w:styleId="aa">
    <w:name w:val="footer"/>
    <w:basedOn w:val="a"/>
    <w:link w:val="ab"/>
    <w:uiPriority w:val="99"/>
    <w:unhideWhenUsed/>
    <w:rsid w:val="00CF0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0A5F"/>
  </w:style>
  <w:style w:type="character" w:styleId="ac">
    <w:name w:val="Unresolved Mention"/>
    <w:basedOn w:val="a0"/>
    <w:uiPriority w:val="99"/>
    <w:semiHidden/>
    <w:unhideWhenUsed/>
    <w:rsid w:val="00AF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Румянцева</dc:creator>
  <cp:lastModifiedBy>Румянцева Александра Алексеевна</cp:lastModifiedBy>
  <cp:revision>27</cp:revision>
  <dcterms:created xsi:type="dcterms:W3CDTF">2019-10-05T15:25:00Z</dcterms:created>
  <dcterms:modified xsi:type="dcterms:W3CDTF">2019-10-06T10:23:00Z</dcterms:modified>
</cp:coreProperties>
</file>