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B8" w:rsidRDefault="00EB0EB8" w:rsidP="00D10128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Цветкова Анастасия Александровна</w:t>
      </w:r>
    </w:p>
    <w:p w:rsidR="00EB0EB8" w:rsidRDefault="00EB0EB8" w:rsidP="00D10128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i/>
          <w:sz w:val="28"/>
          <w:szCs w:val="28"/>
        </w:rPr>
        <w:t>ВО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«Тверской государственный университет»</w:t>
      </w:r>
    </w:p>
    <w:p w:rsidR="00D10128" w:rsidRPr="00D10128" w:rsidRDefault="00D10128" w:rsidP="00D10128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EB0EB8" w:rsidRDefault="00EB0EB8" w:rsidP="00D1012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РЕАЛИЗАЦИЯ МОЛОДЁЖНОЙ ПОЛИТИКИ В Т</w:t>
      </w:r>
      <w:r w:rsidR="00752FD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ЕРСКОЙ ОБЛАСТИ НА ПРИМЕРЕ ГОСУДАРСТВЕННОЙ ПРОГРАММЫ «МОЛОДЁЖЬ ВЕРХНЕВОЛЖЬЯ»</w:t>
      </w:r>
    </w:p>
    <w:p w:rsidR="00D10128" w:rsidRPr="00D10128" w:rsidRDefault="00D10128" w:rsidP="00D1012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52FD9" w:rsidRPr="00752FD9" w:rsidRDefault="00EB0EB8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43C">
        <w:rPr>
          <w:rFonts w:ascii="Times New Roman" w:hAnsi="Times New Roman"/>
          <w:b/>
          <w:sz w:val="28"/>
          <w:szCs w:val="28"/>
        </w:rPr>
        <w:t>Аннотация:</w:t>
      </w:r>
      <w:r w:rsidR="00752FD9" w:rsidRPr="00752FD9">
        <w:rPr>
          <w:rFonts w:ascii="Times New Roman" w:hAnsi="Times New Roman"/>
          <w:sz w:val="28"/>
          <w:szCs w:val="28"/>
        </w:rPr>
        <w:t xml:space="preserve"> </w:t>
      </w:r>
      <w:r w:rsidR="00D10128">
        <w:rPr>
          <w:rFonts w:ascii="Times New Roman" w:hAnsi="Times New Roman"/>
          <w:sz w:val="28"/>
          <w:szCs w:val="28"/>
        </w:rPr>
        <w:t>В</w:t>
      </w:r>
      <w:r w:rsidR="00752FD9" w:rsidRPr="00752FD9">
        <w:rPr>
          <w:rFonts w:ascii="Times New Roman" w:hAnsi="Times New Roman"/>
          <w:sz w:val="28"/>
          <w:szCs w:val="28"/>
        </w:rPr>
        <w:t xml:space="preserve"> статье рассматривается молодежная политика, являющаяся одним из специфических направлений деятельности органов власти, которые отвечают за участие молодёжи в общественно – политической и социально- экономической жизни региона. </w:t>
      </w:r>
    </w:p>
    <w:p w:rsidR="00A63AB6" w:rsidRDefault="00A63AB6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EB8" w:rsidRPr="00E5143C" w:rsidRDefault="00EB0EB8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43C">
        <w:rPr>
          <w:rFonts w:ascii="Times New Roman" w:hAnsi="Times New Roman"/>
          <w:b/>
          <w:sz w:val="28"/>
          <w:szCs w:val="28"/>
        </w:rPr>
        <w:t>Ключевые слова:</w:t>
      </w:r>
      <w:r w:rsidR="00E5143C">
        <w:rPr>
          <w:rFonts w:ascii="Times New Roman" w:hAnsi="Times New Roman"/>
          <w:b/>
          <w:sz w:val="28"/>
          <w:szCs w:val="28"/>
        </w:rPr>
        <w:t xml:space="preserve"> </w:t>
      </w:r>
      <w:r w:rsidR="00E5143C" w:rsidRPr="00E5143C">
        <w:rPr>
          <w:rFonts w:ascii="Times New Roman" w:hAnsi="Times New Roman"/>
          <w:sz w:val="28"/>
          <w:szCs w:val="28"/>
        </w:rPr>
        <w:t xml:space="preserve"> регион; молодёжь; молодежная политика; региональная молодёжная политика; механизмы реализации.</w:t>
      </w:r>
    </w:p>
    <w:p w:rsidR="00FB2A02" w:rsidRDefault="00FB2A02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EB8" w:rsidRDefault="00FB2A02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43C">
        <w:rPr>
          <w:rFonts w:ascii="Times New Roman" w:hAnsi="Times New Roman"/>
          <w:sz w:val="28"/>
          <w:szCs w:val="28"/>
        </w:rPr>
        <w:t>Молодое поколение рассматривают в качестве гаранта социально-экономической устойчивости, будущего индивидуального выживания, а кроме того, как совместного стратегического ресурса развития и формирования общества.</w:t>
      </w:r>
    </w:p>
    <w:p w:rsidR="00E5143C" w:rsidRPr="004A33A9" w:rsidRDefault="00E5143C" w:rsidP="00D10128">
      <w:pPr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E5143C">
        <w:rPr>
          <w:rFonts w:ascii="Times New Roman" w:hAnsi="Times New Roman"/>
          <w:sz w:val="28"/>
          <w:szCs w:val="28"/>
        </w:rPr>
        <w:t>Молодёжная политика в Российской Федерации направлена на развитие потенциала молодёжи и устранение факторов, дестабилизирующих молодое поколение (социальная незащищённость, недостаточное внимание общества и государства, не информированность о потребностях молодёжи и т.д.). Ведь одной из перспектив развития любой страны во многом связаны с положением молодёжи, которая обладает мобильностью, инициативностью, способностью положительно реагировать на новые технологии, восприимчиво</w:t>
      </w:r>
      <w:r w:rsidR="004A33A9">
        <w:rPr>
          <w:rFonts w:ascii="Times New Roman" w:hAnsi="Times New Roman"/>
          <w:sz w:val="28"/>
          <w:szCs w:val="28"/>
        </w:rPr>
        <w:t xml:space="preserve">стью к инновационным изменениям. </w:t>
      </w:r>
      <w:proofErr w:type="gramStart"/>
      <w:r w:rsidR="004A33A9">
        <w:rPr>
          <w:rFonts w:ascii="Times New Roman" w:hAnsi="Times New Roman"/>
          <w:sz w:val="28"/>
          <w:szCs w:val="28"/>
        </w:rPr>
        <w:t xml:space="preserve">По данным Росстата, по состоянию на </w:t>
      </w:r>
      <w:r w:rsidR="004A33A9" w:rsidRPr="004A33A9">
        <w:rPr>
          <w:rFonts w:ascii="Times New Roman" w:hAnsi="Times New Roman"/>
          <w:sz w:val="28"/>
          <w:szCs w:val="28"/>
        </w:rPr>
        <w:t>201</w:t>
      </w:r>
      <w:r w:rsidR="004A33A9">
        <w:rPr>
          <w:rFonts w:ascii="Times New Roman" w:hAnsi="Times New Roman"/>
          <w:sz w:val="28"/>
          <w:szCs w:val="28"/>
        </w:rPr>
        <w:t xml:space="preserve">6 год, в России доля молодежи в </w:t>
      </w:r>
      <w:r w:rsidR="004A33A9" w:rsidRPr="004A33A9">
        <w:rPr>
          <w:rFonts w:ascii="Times New Roman" w:hAnsi="Times New Roman"/>
          <w:sz w:val="28"/>
          <w:szCs w:val="28"/>
        </w:rPr>
        <w:t>общем населении страны составляет 21,5% — 31,5 миллиона человек, из</w:t>
      </w:r>
      <w:r w:rsidR="004A33A9">
        <w:rPr>
          <w:rFonts w:ascii="Times New Roman" w:hAnsi="Times New Roman"/>
          <w:sz w:val="28"/>
          <w:szCs w:val="28"/>
        </w:rPr>
        <w:t xml:space="preserve"> </w:t>
      </w:r>
      <w:r w:rsidR="004A33A9" w:rsidRPr="004A33A9">
        <w:rPr>
          <w:rFonts w:ascii="Times New Roman" w:hAnsi="Times New Roman"/>
          <w:sz w:val="28"/>
          <w:szCs w:val="28"/>
        </w:rPr>
        <w:t>них молодые лю</w:t>
      </w:r>
      <w:r w:rsidR="004A33A9">
        <w:rPr>
          <w:rFonts w:ascii="Times New Roman" w:hAnsi="Times New Roman"/>
          <w:sz w:val="28"/>
          <w:szCs w:val="28"/>
        </w:rPr>
        <w:t xml:space="preserve">ди 14-17 лет — 17,1%, 18-22 лет — 23,2%, 23-27 лет — 35,1%, 28-30 лет </w:t>
      </w:r>
      <w:r w:rsidR="004A33A9" w:rsidRPr="004A33A9">
        <w:rPr>
          <w:rFonts w:ascii="Times New Roman" w:hAnsi="Times New Roman"/>
          <w:sz w:val="28"/>
          <w:szCs w:val="28"/>
        </w:rPr>
        <w:t xml:space="preserve">— 24,6%. Мужчины составляют 50,8% </w:t>
      </w:r>
      <w:r w:rsidR="004A33A9" w:rsidRPr="004A33A9">
        <w:rPr>
          <w:rFonts w:ascii="Times New Roman" w:hAnsi="Times New Roman"/>
          <w:sz w:val="28"/>
          <w:szCs w:val="28"/>
        </w:rPr>
        <w:lastRenderedPageBreak/>
        <w:t>молодежи, женщины — 49,2%. Больши</w:t>
      </w:r>
      <w:r w:rsidR="004A33A9">
        <w:rPr>
          <w:rFonts w:ascii="Times New Roman" w:hAnsi="Times New Roman"/>
          <w:sz w:val="28"/>
          <w:szCs w:val="28"/>
        </w:rPr>
        <w:t xml:space="preserve">нство молодых людей проживают в городах — </w:t>
      </w:r>
      <w:r w:rsidR="004A33A9" w:rsidRPr="004A33A9">
        <w:rPr>
          <w:rFonts w:ascii="Times New Roman" w:hAnsi="Times New Roman"/>
          <w:sz w:val="28"/>
          <w:szCs w:val="28"/>
        </w:rPr>
        <w:t>75,6%</w:t>
      </w:r>
      <w:r w:rsidR="004A33A9">
        <w:rPr>
          <w:rFonts w:ascii="Times New Roman" w:hAnsi="Times New Roman"/>
          <w:sz w:val="28"/>
          <w:szCs w:val="28"/>
        </w:rPr>
        <w:t xml:space="preserve">, на </w:t>
      </w:r>
      <w:r w:rsidR="004A33A9" w:rsidRPr="004A33A9">
        <w:rPr>
          <w:rFonts w:ascii="Times New Roman" w:hAnsi="Times New Roman"/>
          <w:sz w:val="28"/>
          <w:szCs w:val="28"/>
        </w:rPr>
        <w:t>сельскую молодежь приходится 24,4%</w:t>
      </w:r>
      <w:r w:rsidR="00AD424E">
        <w:rPr>
          <w:rFonts w:ascii="Times New Roman" w:hAnsi="Times New Roman"/>
          <w:sz w:val="28"/>
          <w:szCs w:val="28"/>
        </w:rPr>
        <w:t xml:space="preserve">. </w:t>
      </w:r>
      <w:r w:rsidR="00AD42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Касаемо</w:t>
      </w:r>
      <w:r w:rsidR="004A33A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AD42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="00AD424E">
        <w:rPr>
          <w:rFonts w:ascii="Times New Roman" w:hAnsi="Times New Roman"/>
          <w:sz w:val="28"/>
          <w:szCs w:val="28"/>
        </w:rPr>
        <w:t>олодёжи Тверской области, то</w:t>
      </w:r>
      <w:proofErr w:type="gramEnd"/>
      <w:r w:rsidR="00AD424E">
        <w:rPr>
          <w:rFonts w:ascii="Times New Roman" w:hAnsi="Times New Roman"/>
          <w:sz w:val="28"/>
          <w:szCs w:val="28"/>
        </w:rPr>
        <w:t xml:space="preserve"> она составляет более</w:t>
      </w:r>
      <w:r w:rsidR="004A33A9" w:rsidRPr="004A33A9">
        <w:rPr>
          <w:rFonts w:ascii="Times New Roman" w:hAnsi="Times New Roman"/>
          <w:sz w:val="28"/>
          <w:szCs w:val="28"/>
        </w:rPr>
        <w:t>265 тысяч человек в возрасте от 14 до 30 лет. При этом 77,5% молодых людей проживают в городах Тверской области</w:t>
      </w:r>
      <w:r w:rsidR="00AD424E">
        <w:rPr>
          <w:rFonts w:ascii="Times New Roman" w:hAnsi="Times New Roman"/>
          <w:sz w:val="28"/>
          <w:szCs w:val="28"/>
        </w:rPr>
        <w:t xml:space="preserve"> и 22,5% - в сельской местности</w:t>
      </w:r>
      <w:r w:rsidR="00AD424E" w:rsidRPr="00AD424E">
        <w:rPr>
          <w:rFonts w:ascii="Times New Roman" w:hAnsi="Times New Roman"/>
          <w:sz w:val="28"/>
          <w:szCs w:val="28"/>
        </w:rPr>
        <w:t xml:space="preserve"> </w:t>
      </w:r>
      <w:r w:rsidR="00AD424E" w:rsidRPr="00AD424E">
        <w:rPr>
          <w:rFonts w:ascii="Times New Roman" w:hAnsi="Times New Roman"/>
          <w:sz w:val="28"/>
          <w:szCs w:val="28"/>
        </w:rPr>
        <w:t>[</w:t>
      </w:r>
      <w:r w:rsidR="00AD424E">
        <w:rPr>
          <w:rFonts w:ascii="Times New Roman" w:hAnsi="Times New Roman"/>
          <w:sz w:val="28"/>
          <w:szCs w:val="28"/>
        </w:rPr>
        <w:t>1</w:t>
      </w:r>
      <w:r w:rsidR="00AD424E" w:rsidRPr="00AD424E">
        <w:rPr>
          <w:rFonts w:ascii="Times New Roman" w:hAnsi="Times New Roman"/>
          <w:sz w:val="28"/>
          <w:szCs w:val="28"/>
        </w:rPr>
        <w:t>]</w:t>
      </w:r>
      <w:r w:rsidR="00AD424E" w:rsidRPr="004A33A9">
        <w:rPr>
          <w:rFonts w:ascii="Times New Roman" w:hAnsi="Times New Roman"/>
          <w:sz w:val="28"/>
          <w:szCs w:val="28"/>
        </w:rPr>
        <w:t>.</w:t>
      </w:r>
    </w:p>
    <w:p w:rsidR="00E5143C" w:rsidRDefault="00FB2A02" w:rsidP="00D1012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FB2A02">
        <w:rPr>
          <w:rFonts w:ascii="Times New Roman" w:hAnsi="Times New Roman"/>
          <w:bCs/>
          <w:sz w:val="28"/>
          <w:szCs w:val="28"/>
        </w:rPr>
        <w:t>государственной программе Тверской области «Молодежь Верхневолжья»</w:t>
      </w:r>
      <w:r>
        <w:rPr>
          <w:rFonts w:ascii="Times New Roman" w:hAnsi="Times New Roman"/>
          <w:bCs/>
          <w:sz w:val="28"/>
          <w:szCs w:val="28"/>
        </w:rPr>
        <w:t xml:space="preserve"> на 2017</w:t>
      </w:r>
      <w:r w:rsidRPr="00FB2A02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22 выделены следующие</w:t>
      </w:r>
      <w:r w:rsidRPr="00FB2A02">
        <w:rPr>
          <w:rFonts w:ascii="Times New Roman" w:hAnsi="Times New Roman"/>
          <w:bCs/>
          <w:sz w:val="28"/>
          <w:szCs w:val="28"/>
        </w:rPr>
        <w:t xml:space="preserve"> приоритетные направления и задачи региональной молодежной политики. </w:t>
      </w:r>
      <w:r w:rsidR="00D10128" w:rsidRPr="00D10128">
        <w:rPr>
          <w:rFonts w:ascii="Times New Roman" w:hAnsi="Times New Roman"/>
          <w:bCs/>
          <w:sz w:val="28"/>
          <w:szCs w:val="28"/>
        </w:rPr>
        <w:t>С учетом тенденции социально-экономического и общественно-политического развития Тверской области на среднесрочную перспективу государственная молодежная политика в регионе будет реализована по следующим приоритетным направлениям</w:t>
      </w:r>
      <w:r w:rsidR="00D10128">
        <w:rPr>
          <w:rFonts w:ascii="Times New Roman" w:hAnsi="Times New Roman"/>
          <w:bCs/>
          <w:sz w:val="28"/>
          <w:szCs w:val="28"/>
        </w:rPr>
        <w:t xml:space="preserve"> </w:t>
      </w:r>
      <w:r w:rsidR="00D10128" w:rsidRPr="00D10128">
        <w:rPr>
          <w:rFonts w:ascii="Times New Roman" w:hAnsi="Times New Roman"/>
          <w:bCs/>
          <w:sz w:val="28"/>
          <w:szCs w:val="28"/>
        </w:rPr>
        <w:t>[</w:t>
      </w:r>
      <w:r w:rsidR="00D10128">
        <w:rPr>
          <w:rFonts w:ascii="Times New Roman" w:hAnsi="Times New Roman"/>
          <w:bCs/>
          <w:sz w:val="28"/>
          <w:szCs w:val="28"/>
        </w:rPr>
        <w:t>1</w:t>
      </w:r>
      <w:r w:rsidR="00D10128" w:rsidRPr="00D10128">
        <w:rPr>
          <w:rFonts w:ascii="Times New Roman" w:hAnsi="Times New Roman"/>
          <w:bCs/>
          <w:sz w:val="28"/>
          <w:szCs w:val="28"/>
        </w:rPr>
        <w:t>]: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государственная поддержка общественно значимых молодежных инициатив, молодежных и детских общественных объединений, в том числе в рамках проведения конкурсов социальных проектов;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гражданско-патриотическое воспитание молодежи, содействие формированию правовых, культурных, духовно-нравственных и семейных ценностей среди молодежи;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развитие деятельности, направленной на формирование здорового образа жизни и профилактику асоциальных явлений в молодежной среде;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совершенствование материально-технической базы учреждений по работе с молодежью;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укрепление информационной и научно-методической базы государственной молодежной политики;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развитие системы обучения, подготовки и повышения квалификации специалистов по работе с молодежью;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развитие моделей молодежного самоуправления и самоорганизации, поддержка инициативной и обладающей лидерскими качествами молодежи;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lastRenderedPageBreak/>
        <w:t>развитие системы культурно-досуговых мероприятий, направленных на социализацию молодежи и ее интеграцию в общественную и культурную жизнь общества;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19BE">
        <w:rPr>
          <w:rFonts w:ascii="Times New Roman" w:hAnsi="Times New Roman"/>
          <w:sz w:val="28"/>
          <w:szCs w:val="28"/>
        </w:rPr>
        <w:t>содействие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инновационных, т.п.), исследовательских экспедиций с использованием возможностей ведущих учебных заведений и научных организаций;</w:t>
      </w:r>
      <w:proofErr w:type="gramEnd"/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поддержка эффективных моделей и форм вовлечения молодежи в трудовую и предпринимательскую деятельность;</w:t>
      </w:r>
    </w:p>
    <w:p w:rsidR="00D10128" w:rsidRPr="004F19BE" w:rsidRDefault="00D10128" w:rsidP="004F19BE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9BE">
        <w:rPr>
          <w:rFonts w:ascii="Times New Roman" w:hAnsi="Times New Roman"/>
          <w:sz w:val="28"/>
          <w:szCs w:val="28"/>
        </w:rPr>
        <w:t>содействие в обеспечении жильем молодых семей.</w:t>
      </w:r>
    </w:p>
    <w:p w:rsidR="00D10128" w:rsidRDefault="00D10128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10128">
        <w:rPr>
          <w:rFonts w:ascii="Times New Roman" w:hAnsi="Times New Roman"/>
          <w:sz w:val="28"/>
          <w:szCs w:val="28"/>
        </w:rPr>
        <w:t xml:space="preserve">При реализации государственной программы Тверской области «Молодёжь Верхневолжья» Комитетом организуются мероприятия с участием представителей общественных и религиозных организаций, деятелей культуры и искусства проведение культурно-просветительских и воспитательных мероприятий в общеобразовательных организациях и образовательных </w:t>
      </w:r>
      <w:proofErr w:type="gramStart"/>
      <w:r w:rsidRPr="00D10128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D10128">
        <w:rPr>
          <w:rFonts w:ascii="Times New Roman" w:hAnsi="Times New Roman"/>
          <w:sz w:val="28"/>
          <w:szCs w:val="28"/>
        </w:rPr>
        <w:t xml:space="preserve"> высшего образования, направленных на привитие у молодежи идей межнациональной и межрелигиозной толерантности, ценностей многонационального российского общества.</w:t>
      </w:r>
    </w:p>
    <w:p w:rsidR="0029129A" w:rsidRDefault="0029129A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 п</w:t>
      </w:r>
      <w:r w:rsidRPr="0029129A">
        <w:rPr>
          <w:rFonts w:ascii="Times New Roman" w:hAnsi="Times New Roman"/>
          <w:sz w:val="28"/>
          <w:szCs w:val="28"/>
        </w:rPr>
        <w:t>атриотическое воспитание молодежи является приоритетным направлением и консолидирующей основой региональной молодежной политики.</w:t>
      </w:r>
      <w:r w:rsidR="006A7083" w:rsidRPr="006A7083">
        <w:rPr>
          <w:rFonts w:ascii="Times New Roman" w:hAnsi="Times New Roman"/>
          <w:sz w:val="24"/>
          <w:szCs w:val="24"/>
        </w:rPr>
        <w:t xml:space="preserve"> </w:t>
      </w:r>
      <w:r w:rsidR="006A7083">
        <w:rPr>
          <w:rFonts w:ascii="Times New Roman" w:hAnsi="Times New Roman"/>
          <w:sz w:val="24"/>
          <w:szCs w:val="24"/>
        </w:rPr>
        <w:t>Р</w:t>
      </w:r>
      <w:r w:rsidR="006A7083" w:rsidRPr="006A7083">
        <w:rPr>
          <w:rFonts w:ascii="Times New Roman" w:hAnsi="Times New Roman"/>
          <w:sz w:val="28"/>
          <w:szCs w:val="28"/>
        </w:rPr>
        <w:t>еализация направления патриотического воспитания молодёжи проводятся</w:t>
      </w:r>
      <w:r w:rsidR="006A7083">
        <w:rPr>
          <w:rFonts w:ascii="Times New Roman" w:hAnsi="Times New Roman"/>
          <w:sz w:val="28"/>
          <w:szCs w:val="28"/>
        </w:rPr>
        <w:t xml:space="preserve"> в формате</w:t>
      </w:r>
      <w:r w:rsidR="006A7083" w:rsidRPr="006A7083">
        <w:rPr>
          <w:rFonts w:ascii="Times New Roman" w:hAnsi="Times New Roman"/>
          <w:sz w:val="28"/>
          <w:szCs w:val="28"/>
        </w:rPr>
        <w:t xml:space="preserve"> во</w:t>
      </w:r>
      <w:r w:rsidR="006A7083">
        <w:rPr>
          <w:rFonts w:ascii="Times New Roman" w:hAnsi="Times New Roman"/>
          <w:sz w:val="28"/>
          <w:szCs w:val="28"/>
        </w:rPr>
        <w:t>енно-спортивных и сюжетно-ролевых игр, фестивалей</w:t>
      </w:r>
      <w:r w:rsidR="006A7083" w:rsidRPr="006A7083">
        <w:rPr>
          <w:rFonts w:ascii="Times New Roman" w:hAnsi="Times New Roman"/>
          <w:sz w:val="28"/>
          <w:szCs w:val="28"/>
        </w:rPr>
        <w:t xml:space="preserve"> художест</w:t>
      </w:r>
      <w:r w:rsidR="006A7083">
        <w:rPr>
          <w:rFonts w:ascii="Times New Roman" w:hAnsi="Times New Roman"/>
          <w:sz w:val="28"/>
          <w:szCs w:val="28"/>
        </w:rPr>
        <w:t>венного творчества, тематических</w:t>
      </w:r>
      <w:r w:rsidR="006A7083" w:rsidRPr="006A7083">
        <w:rPr>
          <w:rFonts w:ascii="Times New Roman" w:hAnsi="Times New Roman"/>
          <w:sz w:val="28"/>
          <w:szCs w:val="28"/>
        </w:rPr>
        <w:t xml:space="preserve"> выстав</w:t>
      </w:r>
      <w:r w:rsidR="006A7083">
        <w:rPr>
          <w:rFonts w:ascii="Times New Roman" w:hAnsi="Times New Roman"/>
          <w:sz w:val="28"/>
          <w:szCs w:val="28"/>
        </w:rPr>
        <w:t xml:space="preserve">ок и конкурсов, военно-спортивных лагерей для детей и подростков </w:t>
      </w:r>
      <w:r w:rsidR="006A7083" w:rsidRPr="006A7083">
        <w:rPr>
          <w:rFonts w:ascii="Times New Roman" w:hAnsi="Times New Roman"/>
          <w:sz w:val="28"/>
          <w:szCs w:val="28"/>
        </w:rPr>
        <w:t>и т.д. На территории Тверской области действуют молодёжные объединения и организации патриотической направленности, в т</w:t>
      </w:r>
      <w:r w:rsidR="006A7083">
        <w:rPr>
          <w:rFonts w:ascii="Times New Roman" w:hAnsi="Times New Roman"/>
          <w:sz w:val="28"/>
          <w:szCs w:val="28"/>
        </w:rPr>
        <w:t>ом числе и военно-патриотические клубы.</w:t>
      </w:r>
    </w:p>
    <w:p w:rsidR="006A7083" w:rsidRPr="006A7083" w:rsidRDefault="006A7083" w:rsidP="006A70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добровольчества, то это направление активно развивается. </w:t>
      </w:r>
      <w:r w:rsidRPr="006A7083">
        <w:rPr>
          <w:rFonts w:ascii="Times New Roman" w:hAnsi="Times New Roman"/>
          <w:sz w:val="28"/>
          <w:szCs w:val="28"/>
        </w:rPr>
        <w:t>Проводится Всероссийский конкурс «Доброволец России» и «Слет Волонтеров Победы 70+1».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083">
        <w:rPr>
          <w:rFonts w:ascii="Times New Roman" w:hAnsi="Times New Roman"/>
          <w:sz w:val="28"/>
          <w:szCs w:val="28"/>
        </w:rPr>
        <w:t xml:space="preserve">В настоящее время Комитет взаимодействует с </w:t>
      </w:r>
      <w:r w:rsidRPr="006A7083">
        <w:rPr>
          <w:rFonts w:ascii="Times New Roman" w:hAnsi="Times New Roman"/>
          <w:sz w:val="28"/>
          <w:szCs w:val="28"/>
        </w:rPr>
        <w:lastRenderedPageBreak/>
        <w:t xml:space="preserve">многочисленными общественными организациями, движениями и клубами. В их числе: добровольческий центр </w:t>
      </w:r>
      <w:proofErr w:type="spellStart"/>
      <w:r w:rsidRPr="006A7083">
        <w:rPr>
          <w:rFonts w:ascii="Times New Roman" w:hAnsi="Times New Roman"/>
          <w:sz w:val="28"/>
          <w:szCs w:val="28"/>
        </w:rPr>
        <w:t>ТвГТУ</w:t>
      </w:r>
      <w:proofErr w:type="spellEnd"/>
      <w:r w:rsidRPr="006A70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A7083">
        <w:rPr>
          <w:rFonts w:ascii="Times New Roman" w:hAnsi="Times New Roman"/>
          <w:sz w:val="28"/>
          <w:szCs w:val="28"/>
        </w:rPr>
        <w:t>ДоброТех</w:t>
      </w:r>
      <w:proofErr w:type="spellEnd"/>
      <w:r w:rsidRPr="006A7083">
        <w:rPr>
          <w:rFonts w:ascii="Times New Roman" w:hAnsi="Times New Roman"/>
          <w:sz w:val="28"/>
          <w:szCs w:val="28"/>
        </w:rPr>
        <w:t xml:space="preserve">», общественное объединение «Добровольцы», добровольческое студенческое объединение </w:t>
      </w:r>
      <w:proofErr w:type="spellStart"/>
      <w:r w:rsidRPr="006A7083">
        <w:rPr>
          <w:rFonts w:ascii="Times New Roman" w:hAnsi="Times New Roman"/>
          <w:sz w:val="28"/>
          <w:szCs w:val="28"/>
        </w:rPr>
        <w:t>ТвГУ</w:t>
      </w:r>
      <w:proofErr w:type="spellEnd"/>
      <w:r w:rsidRPr="006A7083">
        <w:rPr>
          <w:rFonts w:ascii="Times New Roman" w:hAnsi="Times New Roman"/>
          <w:sz w:val="28"/>
          <w:szCs w:val="28"/>
        </w:rPr>
        <w:t xml:space="preserve"> «Силы Добра», региональное общественное движения «Волонтеры Победы», педагогический отряд «Лифт», Тверское региональное Общественное движение гражданских инициатив «Доброе дело», Благотворительный фонд «Архангел», Тверская региональная общественная экологическая организация «Мой любимый город» и многие другие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08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6A7083">
        <w:rPr>
          <w:rFonts w:ascii="Times New Roman" w:hAnsi="Times New Roman"/>
          <w:sz w:val="28"/>
          <w:szCs w:val="28"/>
        </w:rPr>
        <w:t>].</w:t>
      </w:r>
    </w:p>
    <w:p w:rsidR="006A7083" w:rsidRDefault="009F720D" w:rsidP="00D101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одним из направлений является р</w:t>
      </w:r>
      <w:r w:rsidRPr="009F720D">
        <w:rPr>
          <w:rFonts w:ascii="Times New Roman" w:hAnsi="Times New Roman"/>
          <w:sz w:val="28"/>
          <w:szCs w:val="28"/>
        </w:rPr>
        <w:t>азвитие системы культурно-досуговых молодежных мероприятий и повышение  творческой активности молодежи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720D">
        <w:rPr>
          <w:rFonts w:ascii="Times New Roman" w:hAnsi="Times New Roman"/>
          <w:sz w:val="28"/>
          <w:szCs w:val="28"/>
        </w:rPr>
        <w:t>По данным социологических исследований среди молодежи Верхневолжья наиболее известными и востребованными культурно-досуговыми мероприятиями  отрасли являются фестиваль студенческого творчества «Студенческая весна» и  турнир команд КВ</w:t>
      </w:r>
      <w:r>
        <w:rPr>
          <w:rFonts w:ascii="Times New Roman" w:hAnsi="Times New Roman"/>
          <w:sz w:val="28"/>
          <w:szCs w:val="28"/>
        </w:rPr>
        <w:t xml:space="preserve">Н Тверской области </w:t>
      </w:r>
      <w:r w:rsidRPr="009F720D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3</w:t>
      </w:r>
      <w:r w:rsidRPr="009F720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EB0EB8" w:rsidRDefault="009F720D" w:rsidP="004F19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«Содействие в решении социально-экономических проблем молодых семей» государственной программы Тверской области «Молодежь </w:t>
      </w:r>
      <w:r>
        <w:rPr>
          <w:rFonts w:ascii="Times New Roman" w:hAnsi="Times New Roman"/>
          <w:sz w:val="28"/>
          <w:szCs w:val="28"/>
        </w:rPr>
        <w:t>Верхневолжья» на 2017-2022 годы п</w:t>
      </w:r>
      <w:r>
        <w:rPr>
          <w:rFonts w:ascii="Times New Roman" w:hAnsi="Times New Roman"/>
          <w:sz w:val="28"/>
          <w:szCs w:val="28"/>
        </w:rPr>
        <w:t>роводятся мероприятия для формирования у молодежи традиционных семейных ценностей: Всероссийский форум молодых семей и фестиваль клубов молодых семей, акции по направлению «Формирование у молодежи традиционных семейных ценностей» («День матери», «День отца», «День защиты</w:t>
      </w:r>
      <w:r>
        <w:rPr>
          <w:rFonts w:ascii="Times New Roman" w:hAnsi="Times New Roman"/>
          <w:sz w:val="28"/>
          <w:szCs w:val="28"/>
        </w:rPr>
        <w:t xml:space="preserve"> детей», «Патруль доступности»)</w:t>
      </w:r>
      <w:r w:rsidRPr="009F720D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4</w:t>
      </w:r>
      <w:r w:rsidRPr="009F720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AD424E" w:rsidRDefault="004F19BE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на территории Тверской области государственная программа «Молодёжь Верхневолжья» на 2017 -2022 года реализуется в полном объёме, но для повышения показателей необходимо не только увеличение финансирование данной отрасли, но и как можно большего вовлечения активной молодёжи в осуществление мероприятий по направлениям программы.</w:t>
      </w:r>
    </w:p>
    <w:p w:rsidR="002C474F" w:rsidRDefault="002C474F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74F" w:rsidRDefault="002C474F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74F" w:rsidRPr="002C474F" w:rsidRDefault="002C474F" w:rsidP="002C474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474F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AD424E" w:rsidRPr="00EB0EB8" w:rsidRDefault="00FB2A02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B2A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2A02">
        <w:rPr>
          <w:rFonts w:ascii="Times New Roman" w:hAnsi="Times New Roman"/>
          <w:sz w:val="28"/>
          <w:szCs w:val="28"/>
        </w:rPr>
        <w:t>О</w:t>
      </w:r>
      <w:proofErr w:type="gramEnd"/>
      <w:r w:rsidRPr="00FB2A02">
        <w:rPr>
          <w:rFonts w:ascii="Times New Roman" w:hAnsi="Times New Roman"/>
          <w:sz w:val="28"/>
          <w:szCs w:val="28"/>
        </w:rPr>
        <w:t xml:space="preserve"> государственной программе Тверской области «Молодежь Верхневолжья» на 2017 - 2022 годы: постановление Правительства Тверской области от 12.12.2016 № 396-пп // Тверская жизнь.–2016.- №147-148</w:t>
      </w:r>
    </w:p>
    <w:p w:rsidR="00D10128" w:rsidRDefault="006A7083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6A7083">
        <w:rPr>
          <w:rFonts w:ascii="Times New Roman" w:hAnsi="Times New Roman"/>
          <w:sz w:val="28"/>
          <w:szCs w:val="28"/>
        </w:rPr>
        <w:t xml:space="preserve">Мониторинг развития добровольчества [Электронный ресурс] // URL: </w:t>
      </w:r>
      <w:hyperlink r:id="rId8" w:history="1">
        <w:r w:rsidR="009F720D" w:rsidRPr="00A73AE2">
          <w:rPr>
            <w:rStyle w:val="a3"/>
            <w:rFonts w:ascii="Times New Roman" w:hAnsi="Times New Roman"/>
            <w:sz w:val="28"/>
            <w:szCs w:val="28"/>
          </w:rPr>
          <w:t>http://kdm69.ru/novosti/novosti/?ELEMENT_ID=63368</w:t>
        </w:r>
      </w:hyperlink>
    </w:p>
    <w:p w:rsidR="009F720D" w:rsidRDefault="009F720D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F720D">
        <w:rPr>
          <w:rFonts w:ascii="Times New Roman" w:hAnsi="Times New Roman"/>
          <w:sz w:val="28"/>
          <w:szCs w:val="28"/>
        </w:rPr>
        <w:t>Система ключевых показателей реализации государственной молодежной политики Комитет по делам молодежи Тверской области 2016 год [Документ официально не опубликован]</w:t>
      </w:r>
    </w:p>
    <w:p w:rsidR="009F720D" w:rsidRDefault="009F720D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F720D">
        <w:rPr>
          <w:rFonts w:ascii="Times New Roman" w:hAnsi="Times New Roman"/>
          <w:sz w:val="28"/>
          <w:szCs w:val="28"/>
        </w:rPr>
        <w:t>Информация о ситуации в отрасли государственной молодежной политики Тверской области по итогам 2012 - 2016 годов [Документ официально не опубликован]</w:t>
      </w:r>
    </w:p>
    <w:p w:rsidR="002C474F" w:rsidRDefault="002C474F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74F" w:rsidRPr="002C474F" w:rsidRDefault="002C474F" w:rsidP="002C474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474F">
        <w:rPr>
          <w:rFonts w:ascii="Times New Roman" w:hAnsi="Times New Roman"/>
          <w:b/>
          <w:sz w:val="28"/>
          <w:szCs w:val="28"/>
        </w:rPr>
        <w:t xml:space="preserve">Об авторе </w:t>
      </w:r>
    </w:p>
    <w:p w:rsidR="002C474F" w:rsidRPr="002C474F" w:rsidRDefault="002C474F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Цветкова Анастасия Александровна - </w:t>
      </w:r>
      <w:r w:rsidRPr="002C474F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2C474F">
        <w:rPr>
          <w:rFonts w:ascii="Times New Roman" w:hAnsi="Times New Roman"/>
          <w:sz w:val="28"/>
          <w:szCs w:val="28"/>
        </w:rPr>
        <w:t>ВО</w:t>
      </w:r>
      <w:proofErr w:type="gramEnd"/>
      <w:r w:rsidRPr="002C474F">
        <w:rPr>
          <w:rFonts w:ascii="Times New Roman" w:hAnsi="Times New Roman"/>
          <w:sz w:val="28"/>
          <w:szCs w:val="28"/>
        </w:rPr>
        <w:t xml:space="preserve"> «Тверской государственный университет», магист</w:t>
      </w:r>
      <w:r>
        <w:rPr>
          <w:rFonts w:ascii="Times New Roman" w:hAnsi="Times New Roman"/>
          <w:sz w:val="28"/>
          <w:szCs w:val="28"/>
        </w:rPr>
        <w:t>рант 1</w:t>
      </w:r>
      <w:r w:rsidRPr="002C474F">
        <w:rPr>
          <w:rFonts w:ascii="Times New Roman" w:hAnsi="Times New Roman"/>
          <w:sz w:val="28"/>
          <w:szCs w:val="28"/>
        </w:rPr>
        <w:t xml:space="preserve"> года обучения по направлению «Социология», научный руководитель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к.и</w:t>
      </w:r>
      <w:r w:rsidRPr="002C474F">
        <w:rPr>
          <w:rFonts w:ascii="Times New Roman" w:hAnsi="Times New Roman"/>
          <w:sz w:val="28"/>
          <w:szCs w:val="28"/>
        </w:rPr>
        <w:t>.н</w:t>
      </w:r>
      <w:proofErr w:type="spellEnd"/>
      <w:r w:rsidRPr="002C474F">
        <w:rPr>
          <w:rFonts w:ascii="Times New Roman" w:hAnsi="Times New Roman"/>
          <w:sz w:val="28"/>
          <w:szCs w:val="28"/>
        </w:rPr>
        <w:t xml:space="preserve">., доц. </w:t>
      </w:r>
      <w:proofErr w:type="spellStart"/>
      <w:r>
        <w:rPr>
          <w:rFonts w:ascii="Times New Roman" w:hAnsi="Times New Roman"/>
          <w:sz w:val="28"/>
          <w:szCs w:val="28"/>
        </w:rPr>
        <w:t>Парахонская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Г.А</w:t>
      </w:r>
      <w:r w:rsidRPr="002C474F">
        <w:rPr>
          <w:rFonts w:ascii="Times New Roman" w:hAnsi="Times New Roman"/>
          <w:sz w:val="28"/>
          <w:szCs w:val="28"/>
        </w:rPr>
        <w:t xml:space="preserve">., </w:t>
      </w:r>
      <w:r w:rsidRPr="002C474F">
        <w:rPr>
          <w:rFonts w:ascii="Times New Roman" w:hAnsi="Times New Roman"/>
          <w:sz w:val="28"/>
          <w:szCs w:val="28"/>
          <w:lang w:val="en-US"/>
        </w:rPr>
        <w:t>e</w:t>
      </w:r>
      <w:r w:rsidRPr="002C474F">
        <w:rPr>
          <w:rFonts w:ascii="Times New Roman" w:hAnsi="Times New Roman"/>
          <w:sz w:val="28"/>
          <w:szCs w:val="28"/>
        </w:rPr>
        <w:t>-</w:t>
      </w:r>
      <w:r w:rsidRPr="002C474F">
        <w:rPr>
          <w:rFonts w:ascii="Times New Roman" w:hAnsi="Times New Roman"/>
          <w:sz w:val="28"/>
          <w:szCs w:val="28"/>
          <w:lang w:val="en-US"/>
        </w:rPr>
        <w:t>mail</w:t>
      </w:r>
      <w:r w:rsidRPr="002C474F">
        <w:rPr>
          <w:rFonts w:ascii="Times New Roman" w:hAnsi="Times New Roman"/>
          <w:sz w:val="28"/>
          <w:szCs w:val="28"/>
        </w:rPr>
        <w:t xml:space="preserve">: </w:t>
      </w:r>
      <w:r w:rsidRPr="002C474F">
        <w:rPr>
          <w:rFonts w:ascii="Times New Roman" w:hAnsi="Times New Roman"/>
          <w:sz w:val="28"/>
          <w:szCs w:val="28"/>
          <w:lang w:val="en-US"/>
        </w:rPr>
        <w:t>nastena1995tcvetcova@gmail.com</w:t>
      </w:r>
    </w:p>
    <w:p w:rsidR="002C474F" w:rsidRPr="00EB0EB8" w:rsidRDefault="002C474F" w:rsidP="002C47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C474F" w:rsidRPr="00EB0EB8" w:rsidSect="00D1012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B7" w:rsidRDefault="008314B7" w:rsidP="006A7083">
      <w:pPr>
        <w:spacing w:after="0" w:line="240" w:lineRule="auto"/>
      </w:pPr>
      <w:r>
        <w:separator/>
      </w:r>
    </w:p>
  </w:endnote>
  <w:endnote w:type="continuationSeparator" w:id="0">
    <w:p w:rsidR="008314B7" w:rsidRDefault="008314B7" w:rsidP="006A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B7" w:rsidRDefault="008314B7" w:rsidP="006A7083">
      <w:pPr>
        <w:spacing w:after="0" w:line="240" w:lineRule="auto"/>
      </w:pPr>
      <w:r>
        <w:separator/>
      </w:r>
    </w:p>
  </w:footnote>
  <w:footnote w:type="continuationSeparator" w:id="0">
    <w:p w:rsidR="008314B7" w:rsidRDefault="008314B7" w:rsidP="006A7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3999"/>
    <w:multiLevelType w:val="hybridMultilevel"/>
    <w:tmpl w:val="D6CCCA8A"/>
    <w:lvl w:ilvl="0" w:tplc="BB82195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7F"/>
    <w:rsid w:val="0029129A"/>
    <w:rsid w:val="002C474F"/>
    <w:rsid w:val="004A33A9"/>
    <w:rsid w:val="004F19BE"/>
    <w:rsid w:val="005D2501"/>
    <w:rsid w:val="006A7083"/>
    <w:rsid w:val="00752FD9"/>
    <w:rsid w:val="008314B7"/>
    <w:rsid w:val="008F267F"/>
    <w:rsid w:val="009E5FBD"/>
    <w:rsid w:val="009F720D"/>
    <w:rsid w:val="00A63AB6"/>
    <w:rsid w:val="00AD424E"/>
    <w:rsid w:val="00D10128"/>
    <w:rsid w:val="00E5143C"/>
    <w:rsid w:val="00EB0EB8"/>
    <w:rsid w:val="00F76AC1"/>
    <w:rsid w:val="00F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A9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708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708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A7083"/>
    <w:rPr>
      <w:vertAlign w:val="superscript"/>
    </w:rPr>
  </w:style>
  <w:style w:type="paragraph" w:styleId="a7">
    <w:name w:val="List Paragraph"/>
    <w:basedOn w:val="a"/>
    <w:uiPriority w:val="34"/>
    <w:qFormat/>
    <w:rsid w:val="004F1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A9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708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708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A7083"/>
    <w:rPr>
      <w:vertAlign w:val="superscript"/>
    </w:rPr>
  </w:style>
  <w:style w:type="paragraph" w:styleId="a7">
    <w:name w:val="List Paragraph"/>
    <w:basedOn w:val="a"/>
    <w:uiPriority w:val="34"/>
    <w:qFormat/>
    <w:rsid w:val="004F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dm69.ru/novosti/novosti/?ELEMENT_ID=633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Цветкова</dc:creator>
  <cp:keywords/>
  <dc:description/>
  <cp:lastModifiedBy>Настя Цветкова</cp:lastModifiedBy>
  <cp:revision>9</cp:revision>
  <dcterms:created xsi:type="dcterms:W3CDTF">2017-12-03T19:55:00Z</dcterms:created>
  <dcterms:modified xsi:type="dcterms:W3CDTF">2017-12-03T22:18:00Z</dcterms:modified>
</cp:coreProperties>
</file>