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C9" w:rsidRPr="00D648C9" w:rsidRDefault="00D648C9" w:rsidP="00D648C9">
      <w:pPr>
        <w:spacing w:after="0" w:line="300" w:lineRule="auto"/>
        <w:ind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648C9">
        <w:rPr>
          <w:rFonts w:ascii="Times New Roman" w:hAnsi="Times New Roman" w:cs="Times New Roman"/>
          <w:b/>
          <w:sz w:val="30"/>
          <w:szCs w:val="30"/>
        </w:rPr>
        <w:t>Исследование использования инструментов государственно-частного партнерства: регионально-отраслевой подход</w:t>
      </w:r>
    </w:p>
    <w:p w:rsidR="006D0D5B" w:rsidRDefault="00AC6DF8" w:rsidP="00AC6DF8">
      <w:pPr>
        <w:spacing w:after="0" w:line="300" w:lineRule="auto"/>
        <w:ind w:firstLine="709"/>
        <w:contextualSpacing/>
        <w:jc w:val="right"/>
        <w:rPr>
          <w:rFonts w:ascii="Times New Roman" w:hAnsi="Times New Roman" w:cs="Times New Roman"/>
          <w:sz w:val="30"/>
          <w:szCs w:val="30"/>
        </w:rPr>
      </w:pPr>
      <w:r w:rsidRPr="00AC6DF8">
        <w:rPr>
          <w:rFonts w:ascii="Times New Roman" w:hAnsi="Times New Roman" w:cs="Times New Roman"/>
          <w:sz w:val="30"/>
          <w:szCs w:val="30"/>
        </w:rPr>
        <w:t>Савина А.И.</w:t>
      </w:r>
    </w:p>
    <w:p w:rsidR="00080779" w:rsidRDefault="00080779" w:rsidP="0060484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Аннотация</w:t>
      </w:r>
    </w:p>
    <w:p w:rsidR="00C17F7B" w:rsidRDefault="00604849" w:rsidP="0060484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связи с </w:t>
      </w:r>
      <w:r w:rsidR="007F5EFA">
        <w:rPr>
          <w:rFonts w:ascii="Times New Roman" w:hAnsi="Times New Roman" w:cs="Times New Roman"/>
          <w:sz w:val="30"/>
          <w:szCs w:val="30"/>
        </w:rPr>
        <w:t xml:space="preserve">широким </w:t>
      </w:r>
      <w:r>
        <w:rPr>
          <w:rFonts w:ascii="Times New Roman" w:hAnsi="Times New Roman" w:cs="Times New Roman"/>
          <w:sz w:val="30"/>
          <w:szCs w:val="30"/>
        </w:rPr>
        <w:t>распространением государственно-частного партнер</w:t>
      </w:r>
      <w:r w:rsidR="007F5EFA">
        <w:rPr>
          <w:rFonts w:ascii="Times New Roman" w:hAnsi="Times New Roman" w:cs="Times New Roman"/>
          <w:sz w:val="30"/>
          <w:szCs w:val="30"/>
        </w:rPr>
        <w:t xml:space="preserve">ства в </w:t>
      </w:r>
      <w:r>
        <w:rPr>
          <w:rFonts w:ascii="Times New Roman" w:hAnsi="Times New Roman" w:cs="Times New Roman"/>
          <w:sz w:val="30"/>
          <w:szCs w:val="30"/>
        </w:rPr>
        <w:t xml:space="preserve">развитых странах </w:t>
      </w:r>
      <w:r w:rsidR="007F5EFA">
        <w:rPr>
          <w:rFonts w:ascii="Times New Roman" w:hAnsi="Times New Roman" w:cs="Times New Roman"/>
          <w:sz w:val="30"/>
          <w:szCs w:val="30"/>
        </w:rPr>
        <w:t xml:space="preserve">мирового сообщества </w:t>
      </w:r>
      <w:r>
        <w:rPr>
          <w:rFonts w:ascii="Times New Roman" w:hAnsi="Times New Roman" w:cs="Times New Roman"/>
          <w:sz w:val="30"/>
          <w:szCs w:val="30"/>
        </w:rPr>
        <w:t>актуально дифференцировать поня</w:t>
      </w:r>
      <w:r w:rsidR="007F5EFA">
        <w:rPr>
          <w:rFonts w:ascii="Times New Roman" w:hAnsi="Times New Roman" w:cs="Times New Roman"/>
          <w:sz w:val="30"/>
          <w:szCs w:val="30"/>
        </w:rPr>
        <w:t>тийный аппарат в данной сфере</w:t>
      </w:r>
      <w:r>
        <w:rPr>
          <w:rFonts w:ascii="Times New Roman" w:hAnsi="Times New Roman" w:cs="Times New Roman"/>
          <w:sz w:val="30"/>
          <w:szCs w:val="30"/>
        </w:rPr>
        <w:t>,</w:t>
      </w:r>
      <w:r w:rsidRPr="00604849">
        <w:rPr>
          <w:rFonts w:ascii="Times New Roman" w:hAnsi="Times New Roman" w:cs="Times New Roman"/>
          <w:sz w:val="30"/>
          <w:szCs w:val="30"/>
        </w:rPr>
        <w:t xml:space="preserve"> </w:t>
      </w:r>
      <w:r w:rsidR="007F5EFA">
        <w:rPr>
          <w:rFonts w:ascii="Times New Roman" w:hAnsi="Times New Roman" w:cs="Times New Roman"/>
          <w:sz w:val="30"/>
          <w:szCs w:val="30"/>
        </w:rPr>
        <w:t>использу</w:t>
      </w:r>
      <w:r w:rsidR="007F5EFA">
        <w:rPr>
          <w:rFonts w:ascii="Times New Roman" w:hAnsi="Times New Roman" w:cs="Times New Roman"/>
          <w:sz w:val="30"/>
          <w:szCs w:val="30"/>
        </w:rPr>
        <w:t>е</w:t>
      </w:r>
      <w:r w:rsidR="007F5EFA">
        <w:rPr>
          <w:rFonts w:ascii="Times New Roman" w:hAnsi="Times New Roman" w:cs="Times New Roman"/>
          <w:sz w:val="30"/>
          <w:szCs w:val="30"/>
        </w:rPr>
        <w:t xml:space="preserve">мые </w:t>
      </w:r>
      <w:r>
        <w:rPr>
          <w:rFonts w:ascii="Times New Roman" w:hAnsi="Times New Roman" w:cs="Times New Roman"/>
          <w:sz w:val="30"/>
          <w:szCs w:val="30"/>
        </w:rPr>
        <w:t>мето</w:t>
      </w:r>
      <w:r w:rsidR="007F5EFA">
        <w:rPr>
          <w:rFonts w:ascii="Times New Roman" w:hAnsi="Times New Roman" w:cs="Times New Roman"/>
          <w:sz w:val="30"/>
          <w:szCs w:val="30"/>
        </w:rPr>
        <w:t xml:space="preserve">ды, </w:t>
      </w:r>
      <w:r>
        <w:rPr>
          <w:rFonts w:ascii="Times New Roman" w:hAnsi="Times New Roman" w:cs="Times New Roman"/>
          <w:sz w:val="30"/>
          <w:szCs w:val="30"/>
        </w:rPr>
        <w:t>методики, инструмен</w:t>
      </w:r>
      <w:r w:rsidR="007F5EFA">
        <w:rPr>
          <w:rFonts w:ascii="Times New Roman" w:hAnsi="Times New Roman" w:cs="Times New Roman"/>
          <w:sz w:val="30"/>
          <w:szCs w:val="30"/>
        </w:rPr>
        <w:t xml:space="preserve">ты, </w:t>
      </w:r>
      <w:r>
        <w:rPr>
          <w:rFonts w:ascii="Times New Roman" w:hAnsi="Times New Roman" w:cs="Times New Roman"/>
          <w:sz w:val="30"/>
          <w:szCs w:val="30"/>
        </w:rPr>
        <w:t>нормативно-правовую ба</w:t>
      </w:r>
      <w:r w:rsidR="007F5EFA">
        <w:rPr>
          <w:rFonts w:ascii="Times New Roman" w:hAnsi="Times New Roman" w:cs="Times New Roman"/>
          <w:sz w:val="30"/>
          <w:szCs w:val="30"/>
        </w:rPr>
        <w:t>зу. В статье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B41DF">
        <w:rPr>
          <w:rFonts w:ascii="Times New Roman" w:hAnsi="Times New Roman" w:cs="Times New Roman"/>
          <w:sz w:val="30"/>
          <w:szCs w:val="30"/>
        </w:rPr>
        <w:t>рассмотрены</w:t>
      </w:r>
      <w:r w:rsidR="007F5EFA">
        <w:rPr>
          <w:rFonts w:ascii="Times New Roman" w:hAnsi="Times New Roman" w:cs="Times New Roman"/>
          <w:sz w:val="30"/>
          <w:szCs w:val="30"/>
        </w:rPr>
        <w:t xml:space="preserve"> подходы к определению</w:t>
      </w:r>
      <w:r>
        <w:rPr>
          <w:rFonts w:ascii="Times New Roman" w:hAnsi="Times New Roman" w:cs="Times New Roman"/>
          <w:sz w:val="30"/>
          <w:szCs w:val="30"/>
        </w:rPr>
        <w:t xml:space="preserve"> государственно-частного партнер</w:t>
      </w:r>
      <w:r w:rsidR="007F5EFA">
        <w:rPr>
          <w:rFonts w:ascii="Times New Roman" w:hAnsi="Times New Roman" w:cs="Times New Roman"/>
          <w:sz w:val="30"/>
          <w:szCs w:val="30"/>
        </w:rPr>
        <w:t>ства в российской и зарубежной практике; п</w:t>
      </w:r>
      <w:r w:rsidR="001B41DF">
        <w:rPr>
          <w:rFonts w:ascii="Times New Roman" w:hAnsi="Times New Roman" w:cs="Times New Roman"/>
          <w:sz w:val="30"/>
          <w:szCs w:val="30"/>
        </w:rPr>
        <w:t>редставлена сра</w:t>
      </w:r>
      <w:r w:rsidR="001B41DF">
        <w:rPr>
          <w:rFonts w:ascii="Times New Roman" w:hAnsi="Times New Roman" w:cs="Times New Roman"/>
          <w:sz w:val="30"/>
          <w:szCs w:val="30"/>
        </w:rPr>
        <w:t>в</w:t>
      </w:r>
      <w:r w:rsidR="001B41DF">
        <w:rPr>
          <w:rFonts w:ascii="Times New Roman" w:hAnsi="Times New Roman" w:cs="Times New Roman"/>
          <w:sz w:val="30"/>
          <w:szCs w:val="30"/>
        </w:rPr>
        <w:t>нительная характеристика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7F5EFA">
        <w:rPr>
          <w:rFonts w:ascii="Times New Roman" w:hAnsi="Times New Roman" w:cs="Times New Roman"/>
          <w:sz w:val="30"/>
          <w:szCs w:val="30"/>
        </w:rPr>
        <w:t xml:space="preserve">уровня </w:t>
      </w:r>
      <w:r w:rsidR="001B41DF">
        <w:rPr>
          <w:rFonts w:ascii="Times New Roman" w:hAnsi="Times New Roman" w:cs="Times New Roman"/>
          <w:sz w:val="30"/>
          <w:szCs w:val="30"/>
        </w:rPr>
        <w:t>развития государственно-частного партнерства в субъ</w:t>
      </w:r>
      <w:r w:rsidR="007F5EFA">
        <w:rPr>
          <w:rFonts w:ascii="Times New Roman" w:hAnsi="Times New Roman" w:cs="Times New Roman"/>
          <w:sz w:val="30"/>
          <w:szCs w:val="30"/>
        </w:rPr>
        <w:t>ектах РФ за 2014-2016 гг.; в</w:t>
      </w:r>
      <w:r w:rsidR="001B41DF">
        <w:rPr>
          <w:rFonts w:ascii="Times New Roman" w:hAnsi="Times New Roman" w:cs="Times New Roman"/>
          <w:sz w:val="30"/>
          <w:szCs w:val="30"/>
        </w:rPr>
        <w:t>ыявлены основные факторы, влияющие на развитие государственно-частного партне</w:t>
      </w:r>
      <w:r w:rsidR="001B41DF">
        <w:rPr>
          <w:rFonts w:ascii="Times New Roman" w:hAnsi="Times New Roman" w:cs="Times New Roman"/>
          <w:sz w:val="30"/>
          <w:szCs w:val="30"/>
        </w:rPr>
        <w:t>р</w:t>
      </w:r>
      <w:r w:rsidR="007F5EFA">
        <w:rPr>
          <w:rFonts w:ascii="Times New Roman" w:hAnsi="Times New Roman" w:cs="Times New Roman"/>
          <w:sz w:val="30"/>
          <w:szCs w:val="30"/>
        </w:rPr>
        <w:t>ства. Автором п</w:t>
      </w:r>
      <w:r w:rsidR="001B41DF">
        <w:rPr>
          <w:rFonts w:ascii="Times New Roman" w:hAnsi="Times New Roman" w:cs="Times New Roman"/>
          <w:sz w:val="30"/>
          <w:szCs w:val="30"/>
        </w:rPr>
        <w:t>редложены инструменты, смягчающие или ликвид</w:t>
      </w:r>
      <w:r w:rsidR="001B41DF">
        <w:rPr>
          <w:rFonts w:ascii="Times New Roman" w:hAnsi="Times New Roman" w:cs="Times New Roman"/>
          <w:sz w:val="30"/>
          <w:szCs w:val="30"/>
        </w:rPr>
        <w:t>и</w:t>
      </w:r>
      <w:r w:rsidR="001B41DF">
        <w:rPr>
          <w:rFonts w:ascii="Times New Roman" w:hAnsi="Times New Roman" w:cs="Times New Roman"/>
          <w:sz w:val="30"/>
          <w:szCs w:val="30"/>
        </w:rPr>
        <w:t>рующие влияние сложившейся геополитической ситуации</w:t>
      </w:r>
      <w:r w:rsidR="0045333F">
        <w:rPr>
          <w:rFonts w:ascii="Times New Roman" w:hAnsi="Times New Roman" w:cs="Times New Roman"/>
          <w:sz w:val="30"/>
          <w:szCs w:val="30"/>
        </w:rPr>
        <w:t xml:space="preserve"> на р</w:t>
      </w:r>
      <w:r w:rsidR="001B41DF">
        <w:rPr>
          <w:rFonts w:ascii="Times New Roman" w:hAnsi="Times New Roman" w:cs="Times New Roman"/>
          <w:sz w:val="30"/>
          <w:szCs w:val="30"/>
        </w:rPr>
        <w:t>азв</w:t>
      </w:r>
      <w:r w:rsidR="001B41DF">
        <w:rPr>
          <w:rFonts w:ascii="Times New Roman" w:hAnsi="Times New Roman" w:cs="Times New Roman"/>
          <w:sz w:val="30"/>
          <w:szCs w:val="30"/>
        </w:rPr>
        <w:t>и</w:t>
      </w:r>
      <w:r w:rsidR="001B41DF">
        <w:rPr>
          <w:rFonts w:ascii="Times New Roman" w:hAnsi="Times New Roman" w:cs="Times New Roman"/>
          <w:sz w:val="30"/>
          <w:szCs w:val="30"/>
        </w:rPr>
        <w:t>тие ГЧП в России.</w:t>
      </w:r>
    </w:p>
    <w:p w:rsidR="00A45C2E" w:rsidRDefault="00A45C2E" w:rsidP="00A45C2E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Ключевые слова: государственно-частное партнерство, инстр</w:t>
      </w:r>
      <w:r>
        <w:rPr>
          <w:rFonts w:ascii="Times New Roman" w:hAnsi="Times New Roman" w:cs="Times New Roman"/>
          <w:sz w:val="30"/>
          <w:szCs w:val="30"/>
        </w:rPr>
        <w:t>у</w:t>
      </w:r>
      <w:r>
        <w:rPr>
          <w:rFonts w:ascii="Times New Roman" w:hAnsi="Times New Roman" w:cs="Times New Roman"/>
          <w:sz w:val="30"/>
          <w:szCs w:val="30"/>
        </w:rPr>
        <w:t>менты ГЧП, рейтинг субъектов РФ по уровню развития ГЧП, ГЧП в сфере гостеприимства.</w:t>
      </w:r>
      <w:bookmarkStart w:id="0" w:name="_GoBack"/>
      <w:bookmarkEnd w:id="0"/>
    </w:p>
    <w:p w:rsidR="00181059" w:rsidRDefault="00181059" w:rsidP="0060484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S</w:t>
      </w:r>
      <w:r w:rsidRPr="00181059">
        <w:rPr>
          <w:rFonts w:ascii="Times New Roman" w:hAnsi="Times New Roman" w:cs="Times New Roman"/>
          <w:sz w:val="30"/>
          <w:szCs w:val="30"/>
        </w:rPr>
        <w:t>ummary</w:t>
      </w:r>
    </w:p>
    <w:p w:rsidR="0045333F" w:rsidRPr="00181059" w:rsidRDefault="00181059" w:rsidP="0018105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181059">
        <w:rPr>
          <w:rFonts w:ascii="Times New Roman" w:hAnsi="Times New Roman" w:cs="Times New Roman"/>
          <w:sz w:val="30"/>
          <w:szCs w:val="30"/>
          <w:lang w:val="en-US"/>
        </w:rPr>
        <w:t>Today the differentiation of the conceptual construct in this area, also the methods, methodology, analytical tools, and legislative framework e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m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ployed couldn’t be more relevant, given the present widespread public-private part</w:t>
      </w:r>
      <w:r>
        <w:rPr>
          <w:rFonts w:ascii="Times New Roman" w:hAnsi="Times New Roman" w:cs="Times New Roman"/>
          <w:sz w:val="30"/>
          <w:szCs w:val="30"/>
          <w:lang w:val="en-US"/>
        </w:rPr>
        <w:t>nership in developed countries.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 xml:space="preserve"> This article considers a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p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proaches to the definition of public-pri</w:t>
      </w:r>
      <w:r>
        <w:rPr>
          <w:rFonts w:ascii="Times New Roman" w:hAnsi="Times New Roman" w:cs="Times New Roman"/>
          <w:sz w:val="30"/>
          <w:szCs w:val="30"/>
          <w:lang w:val="en-US"/>
        </w:rPr>
        <w:t xml:space="preserve">vate partnership 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in Russian and fo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r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eign practice; represents the comparative characteristic of the public-private partnership development in regions of Russia Federation for 2014-2016 years; reflects the main public-private partnership development fa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c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>tors</w:t>
      </w:r>
      <w:r>
        <w:rPr>
          <w:rFonts w:ascii="Times New Roman" w:hAnsi="Times New Roman" w:cs="Times New Roman"/>
          <w:sz w:val="30"/>
          <w:szCs w:val="30"/>
          <w:lang w:val="en-US"/>
        </w:rPr>
        <w:t>.</w:t>
      </w:r>
      <w:r w:rsidRPr="00181059">
        <w:rPr>
          <w:rFonts w:ascii="Times New Roman" w:hAnsi="Times New Roman" w:cs="Times New Roman"/>
          <w:sz w:val="30"/>
          <w:szCs w:val="30"/>
          <w:lang w:val="en-US"/>
        </w:rPr>
        <w:t xml:space="preserve"> Certain analytical tools were requested by the author to mitigate and eliminate the impact on the development of PPP.</w:t>
      </w:r>
    </w:p>
    <w:p w:rsidR="00FA0E52" w:rsidRPr="00080779" w:rsidRDefault="00665280" w:rsidP="008A2644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665280">
        <w:rPr>
          <w:rFonts w:ascii="Times New Roman" w:hAnsi="Times New Roman" w:cs="Times New Roman"/>
          <w:sz w:val="30"/>
          <w:szCs w:val="30"/>
          <w:lang w:val="en-US"/>
        </w:rPr>
        <w:t xml:space="preserve">Keywords: </w:t>
      </w:r>
      <w:r w:rsidR="00080779" w:rsidRPr="00080779">
        <w:rPr>
          <w:rFonts w:ascii="Times New Roman" w:hAnsi="Times New Roman" w:cs="Times New Roman"/>
          <w:sz w:val="30"/>
          <w:szCs w:val="30"/>
          <w:lang w:val="en-US"/>
        </w:rPr>
        <w:t>public-private partnership, tools of PPP, the rating of te</w:t>
      </w:r>
      <w:r w:rsidR="00080779" w:rsidRPr="00080779">
        <w:rPr>
          <w:rFonts w:ascii="Times New Roman" w:hAnsi="Times New Roman" w:cs="Times New Roman"/>
          <w:sz w:val="30"/>
          <w:szCs w:val="30"/>
          <w:lang w:val="en-US"/>
        </w:rPr>
        <w:t>r</w:t>
      </w:r>
      <w:r w:rsidR="00080779" w:rsidRPr="00080779">
        <w:rPr>
          <w:rFonts w:ascii="Times New Roman" w:hAnsi="Times New Roman" w:cs="Times New Roman"/>
          <w:sz w:val="30"/>
          <w:szCs w:val="30"/>
          <w:lang w:val="en-US"/>
        </w:rPr>
        <w:t>ritorial subjects of the Russian Federation on the level of development of PPP, PPP in the sphere of hospitality.</w:t>
      </w:r>
      <w:r w:rsidR="004B4A44" w:rsidRPr="00665280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D648C9" w:rsidRPr="00D648C9" w:rsidRDefault="006575F5" w:rsidP="008A2644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В последнее десятилетие в России все чаще стало появляться понятие государств</w:t>
      </w:r>
      <w:r w:rsidR="008A2644">
        <w:rPr>
          <w:rFonts w:ascii="Times New Roman" w:hAnsi="Times New Roman" w:cs="Times New Roman"/>
          <w:sz w:val="30"/>
          <w:szCs w:val="30"/>
        </w:rPr>
        <w:t>енно-частного партнерства (ГЧП)</w:t>
      </w:r>
      <w:r>
        <w:rPr>
          <w:rFonts w:ascii="Times New Roman" w:hAnsi="Times New Roman" w:cs="Times New Roman"/>
          <w:sz w:val="30"/>
          <w:szCs w:val="30"/>
        </w:rPr>
        <w:t xml:space="preserve">. Но, несмотря на всеобщее распространение, определение ГЧП, его методы, методики, </w:t>
      </w:r>
      <w:r w:rsidR="00F84099">
        <w:rPr>
          <w:rFonts w:ascii="Times New Roman" w:hAnsi="Times New Roman" w:cs="Times New Roman"/>
          <w:sz w:val="30"/>
          <w:szCs w:val="30"/>
        </w:rPr>
        <w:t xml:space="preserve">инструменты, </w:t>
      </w:r>
      <w:r w:rsidR="008A2644">
        <w:rPr>
          <w:rFonts w:ascii="Times New Roman" w:hAnsi="Times New Roman" w:cs="Times New Roman"/>
          <w:sz w:val="30"/>
          <w:szCs w:val="30"/>
        </w:rPr>
        <w:t>цели и принципы не всегда имеют четкую трактовку и правовое обеспечение. И</w:t>
      </w:r>
      <w:r w:rsidR="00D648C9">
        <w:rPr>
          <w:rFonts w:ascii="Times New Roman" w:hAnsi="Times New Roman" w:cs="Times New Roman"/>
          <w:sz w:val="30"/>
          <w:szCs w:val="30"/>
        </w:rPr>
        <w:t>сследова</w:t>
      </w:r>
      <w:r w:rsidR="008A2644">
        <w:rPr>
          <w:rFonts w:ascii="Times New Roman" w:hAnsi="Times New Roman" w:cs="Times New Roman"/>
          <w:sz w:val="30"/>
          <w:szCs w:val="30"/>
        </w:rPr>
        <w:t>ние</w:t>
      </w:r>
      <w:r w:rsidR="00D648C9">
        <w:rPr>
          <w:rFonts w:ascii="Times New Roman" w:hAnsi="Times New Roman" w:cs="Times New Roman"/>
          <w:sz w:val="30"/>
          <w:szCs w:val="30"/>
        </w:rPr>
        <w:t xml:space="preserve"> инструментов </w:t>
      </w:r>
      <w:r w:rsidR="00080779">
        <w:rPr>
          <w:rFonts w:ascii="Times New Roman" w:hAnsi="Times New Roman" w:cs="Times New Roman"/>
          <w:sz w:val="30"/>
          <w:szCs w:val="30"/>
        </w:rPr>
        <w:t>ГЧП</w:t>
      </w:r>
      <w:r w:rsidR="00D648C9">
        <w:rPr>
          <w:rFonts w:ascii="Times New Roman" w:hAnsi="Times New Roman" w:cs="Times New Roman"/>
          <w:sz w:val="30"/>
          <w:szCs w:val="30"/>
        </w:rPr>
        <w:t xml:space="preserve"> с целью расширения понимания и эффективно</w:t>
      </w:r>
      <w:r w:rsidR="008A2644">
        <w:rPr>
          <w:rFonts w:ascii="Times New Roman" w:hAnsi="Times New Roman" w:cs="Times New Roman"/>
          <w:sz w:val="30"/>
          <w:szCs w:val="30"/>
        </w:rPr>
        <w:t xml:space="preserve">го их использования </w:t>
      </w:r>
      <w:r w:rsidR="00D648C9" w:rsidRPr="00D648C9">
        <w:rPr>
          <w:rFonts w:ascii="Times New Roman" w:hAnsi="Times New Roman" w:cs="Times New Roman"/>
          <w:sz w:val="30"/>
          <w:szCs w:val="30"/>
        </w:rPr>
        <w:t>в условиях новой геополитической ситуа</w:t>
      </w:r>
      <w:r w:rsidR="008A2644">
        <w:rPr>
          <w:rFonts w:ascii="Times New Roman" w:hAnsi="Times New Roman" w:cs="Times New Roman"/>
          <w:sz w:val="30"/>
          <w:szCs w:val="30"/>
        </w:rPr>
        <w:t>ции становится особо актуальным.</w:t>
      </w:r>
    </w:p>
    <w:p w:rsidR="00D648C9" w:rsidRDefault="00884D4F" w:rsidP="008A2644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Понятие государственно-част</w:t>
      </w:r>
      <w:r w:rsidR="008A2644">
        <w:rPr>
          <w:rFonts w:ascii="Times New Roman" w:hAnsi="Times New Roman" w:cs="Times New Roman"/>
          <w:sz w:val="30"/>
          <w:szCs w:val="30"/>
        </w:rPr>
        <w:t xml:space="preserve">ного партнерства </w:t>
      </w:r>
      <w:r>
        <w:rPr>
          <w:rFonts w:ascii="Times New Roman" w:hAnsi="Times New Roman" w:cs="Times New Roman"/>
          <w:sz w:val="30"/>
          <w:szCs w:val="30"/>
        </w:rPr>
        <w:t>неоднознач</w:t>
      </w:r>
      <w:r w:rsidR="008A2644">
        <w:rPr>
          <w:rFonts w:ascii="Times New Roman" w:hAnsi="Times New Roman" w:cs="Times New Roman"/>
          <w:sz w:val="30"/>
          <w:szCs w:val="30"/>
        </w:rPr>
        <w:t>но,</w:t>
      </w:r>
      <w:r>
        <w:rPr>
          <w:rFonts w:ascii="Times New Roman" w:hAnsi="Times New Roman" w:cs="Times New Roman"/>
          <w:sz w:val="30"/>
          <w:szCs w:val="30"/>
        </w:rPr>
        <w:t xml:space="preserve"> в различных странах существ</w:t>
      </w:r>
      <w:r w:rsidR="008A2644">
        <w:rPr>
          <w:rFonts w:ascii="Times New Roman" w:hAnsi="Times New Roman" w:cs="Times New Roman"/>
          <w:sz w:val="30"/>
          <w:szCs w:val="30"/>
        </w:rPr>
        <w:t xml:space="preserve">ует разная его трактовка. По версии </w:t>
      </w:r>
      <w:r w:rsidR="00774A4C" w:rsidRPr="00D648C9">
        <w:rPr>
          <w:rFonts w:ascii="Times New Roman" w:hAnsi="Times New Roman" w:cs="Times New Roman"/>
          <w:sz w:val="30"/>
          <w:szCs w:val="30"/>
        </w:rPr>
        <w:t>Фед</w:t>
      </w:r>
      <w:r w:rsidR="00774A4C" w:rsidRPr="00D648C9">
        <w:rPr>
          <w:rFonts w:ascii="Times New Roman" w:hAnsi="Times New Roman" w:cs="Times New Roman"/>
          <w:sz w:val="30"/>
          <w:szCs w:val="30"/>
        </w:rPr>
        <w:t>е</w:t>
      </w:r>
      <w:r w:rsidR="005A534B">
        <w:rPr>
          <w:rFonts w:ascii="Times New Roman" w:hAnsi="Times New Roman" w:cs="Times New Roman"/>
          <w:sz w:val="30"/>
          <w:szCs w:val="30"/>
        </w:rPr>
        <w:t>рального</w:t>
      </w:r>
      <w:r w:rsidR="00774A4C" w:rsidRPr="00D648C9">
        <w:rPr>
          <w:rFonts w:ascii="Times New Roman" w:hAnsi="Times New Roman" w:cs="Times New Roman"/>
          <w:sz w:val="30"/>
          <w:szCs w:val="30"/>
        </w:rPr>
        <w:t xml:space="preserve"> закон</w:t>
      </w:r>
      <w:r w:rsidR="005A534B">
        <w:rPr>
          <w:rFonts w:ascii="Times New Roman" w:hAnsi="Times New Roman" w:cs="Times New Roman"/>
          <w:sz w:val="30"/>
          <w:szCs w:val="30"/>
        </w:rPr>
        <w:t>а</w:t>
      </w:r>
      <w:r w:rsidR="008A2644">
        <w:rPr>
          <w:rFonts w:ascii="Times New Roman" w:hAnsi="Times New Roman" w:cs="Times New Roman"/>
          <w:sz w:val="30"/>
          <w:szCs w:val="30"/>
        </w:rPr>
        <w:t xml:space="preserve"> от 13 июля 2015 г. № 224-ФЗ «</w:t>
      </w:r>
      <w:r w:rsidR="00774A4C" w:rsidRPr="00D648C9">
        <w:rPr>
          <w:rFonts w:ascii="Times New Roman" w:hAnsi="Times New Roman" w:cs="Times New Roman"/>
          <w:sz w:val="30"/>
          <w:szCs w:val="30"/>
        </w:rPr>
        <w:t>О государственно-частном партнерстве, муниципально-частном партнерстве в Росси</w:t>
      </w:r>
      <w:r w:rsidR="00774A4C" w:rsidRPr="00D648C9">
        <w:rPr>
          <w:rFonts w:ascii="Times New Roman" w:hAnsi="Times New Roman" w:cs="Times New Roman"/>
          <w:sz w:val="30"/>
          <w:szCs w:val="30"/>
        </w:rPr>
        <w:t>й</w:t>
      </w:r>
      <w:r w:rsidR="00774A4C" w:rsidRPr="00D648C9">
        <w:rPr>
          <w:rFonts w:ascii="Times New Roman" w:hAnsi="Times New Roman" w:cs="Times New Roman"/>
          <w:sz w:val="30"/>
          <w:szCs w:val="30"/>
        </w:rPr>
        <w:t>ской Федерации и внесении изменений в отдельные законодательные ак</w:t>
      </w:r>
      <w:r w:rsidR="008A2644">
        <w:rPr>
          <w:rFonts w:ascii="Times New Roman" w:hAnsi="Times New Roman" w:cs="Times New Roman"/>
          <w:sz w:val="30"/>
          <w:szCs w:val="30"/>
        </w:rPr>
        <w:t>ты Российской Федерации» г</w:t>
      </w:r>
      <w:r w:rsidR="00774A4C" w:rsidRPr="00D648C9">
        <w:rPr>
          <w:rFonts w:ascii="Times New Roman" w:hAnsi="Times New Roman" w:cs="Times New Roman"/>
          <w:sz w:val="30"/>
          <w:szCs w:val="30"/>
        </w:rPr>
        <w:t>осударственно-частное партнерство – это юридически оформленное на определенный срок и основанное на объединении ресурсов, распределении рисков сотрудничество пу</w:t>
      </w:r>
      <w:r w:rsidR="00774A4C" w:rsidRPr="00D648C9">
        <w:rPr>
          <w:rFonts w:ascii="Times New Roman" w:hAnsi="Times New Roman" w:cs="Times New Roman"/>
          <w:sz w:val="30"/>
          <w:szCs w:val="30"/>
        </w:rPr>
        <w:t>б</w:t>
      </w:r>
      <w:r w:rsidR="00774A4C" w:rsidRPr="00D648C9">
        <w:rPr>
          <w:rFonts w:ascii="Times New Roman" w:hAnsi="Times New Roman" w:cs="Times New Roman"/>
          <w:sz w:val="30"/>
          <w:szCs w:val="30"/>
        </w:rPr>
        <w:t>личного партнера, с одной стороны, и частного партнера, с другой стороны, которое осуществляется на основании соглашения о гос</w:t>
      </w:r>
      <w:r w:rsidR="00774A4C" w:rsidRPr="00D648C9">
        <w:rPr>
          <w:rFonts w:ascii="Times New Roman" w:hAnsi="Times New Roman" w:cs="Times New Roman"/>
          <w:sz w:val="30"/>
          <w:szCs w:val="30"/>
        </w:rPr>
        <w:t>у</w:t>
      </w:r>
      <w:r w:rsidR="00774A4C" w:rsidRPr="00D648C9">
        <w:rPr>
          <w:rFonts w:ascii="Times New Roman" w:hAnsi="Times New Roman" w:cs="Times New Roman"/>
          <w:sz w:val="30"/>
          <w:szCs w:val="30"/>
        </w:rPr>
        <w:t>дарственно-частном партнерстве, заключенных в соответствии с настоящим Федеральным законом в целях привлечения в экономику частных инвестиций, обеспечения органами государственной власти и органами местного самоуправления доступности товаров, работ, услуг и повышения их каче</w:t>
      </w:r>
      <w:r w:rsidR="008A2644">
        <w:rPr>
          <w:rFonts w:ascii="Times New Roman" w:hAnsi="Times New Roman" w:cs="Times New Roman"/>
          <w:sz w:val="30"/>
          <w:szCs w:val="30"/>
        </w:rPr>
        <w:t>ства</w:t>
      </w:r>
      <w:r w:rsidR="00774A4C" w:rsidRPr="00D648C9">
        <w:rPr>
          <w:rFonts w:ascii="Times New Roman" w:hAnsi="Times New Roman" w:cs="Times New Roman"/>
          <w:sz w:val="30"/>
          <w:szCs w:val="30"/>
        </w:rPr>
        <w:t xml:space="preserve"> [</w:t>
      </w:r>
      <w:r w:rsidR="00774A4C" w:rsidRPr="00884D4F">
        <w:rPr>
          <w:rFonts w:ascii="Times New Roman" w:hAnsi="Times New Roman" w:cs="Times New Roman"/>
          <w:sz w:val="30"/>
          <w:szCs w:val="30"/>
        </w:rPr>
        <w:t>1]</w:t>
      </w:r>
      <w:r w:rsidR="008A2644">
        <w:rPr>
          <w:rFonts w:ascii="Times New Roman" w:hAnsi="Times New Roman" w:cs="Times New Roman"/>
          <w:sz w:val="30"/>
          <w:szCs w:val="30"/>
        </w:rPr>
        <w:t>.</w:t>
      </w:r>
    </w:p>
    <w:p w:rsidR="00884D4F" w:rsidRPr="008A2644" w:rsidRDefault="00884D4F" w:rsidP="00884D4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Pr="00884D4F">
        <w:rPr>
          <w:rFonts w:ascii="Times New Roman" w:hAnsi="Times New Roman" w:cs="Times New Roman"/>
          <w:sz w:val="30"/>
          <w:szCs w:val="30"/>
        </w:rPr>
        <w:t xml:space="preserve">Великобритании, где </w:t>
      </w:r>
      <w:r>
        <w:rPr>
          <w:rFonts w:ascii="Times New Roman" w:hAnsi="Times New Roman" w:cs="Times New Roman"/>
          <w:sz w:val="30"/>
          <w:szCs w:val="30"/>
        </w:rPr>
        <w:t>ГЧП наиболее распространено</w:t>
      </w:r>
      <w:r w:rsidRPr="00884D4F"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sz w:val="30"/>
          <w:szCs w:val="30"/>
        </w:rPr>
        <w:t>оно</w:t>
      </w:r>
      <w:r w:rsidRPr="00884D4F">
        <w:rPr>
          <w:rFonts w:ascii="Times New Roman" w:hAnsi="Times New Roman" w:cs="Times New Roman"/>
          <w:sz w:val="30"/>
          <w:szCs w:val="30"/>
        </w:rPr>
        <w:t xml:space="preserve"> трактуется как «ключевой элемент стратегии правительства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D4F">
        <w:rPr>
          <w:rFonts w:ascii="Times New Roman" w:hAnsi="Times New Roman" w:cs="Times New Roman"/>
          <w:sz w:val="30"/>
          <w:szCs w:val="30"/>
        </w:rPr>
        <w:t>обе</w:t>
      </w:r>
      <w:r w:rsidRPr="00884D4F">
        <w:rPr>
          <w:rFonts w:ascii="Times New Roman" w:hAnsi="Times New Roman" w:cs="Times New Roman"/>
          <w:sz w:val="30"/>
          <w:szCs w:val="30"/>
        </w:rPr>
        <w:t>с</w:t>
      </w:r>
      <w:r w:rsidRPr="00884D4F">
        <w:rPr>
          <w:rFonts w:ascii="Times New Roman" w:hAnsi="Times New Roman" w:cs="Times New Roman"/>
          <w:sz w:val="30"/>
          <w:szCs w:val="30"/>
        </w:rPr>
        <w:t>печению современного, высококачественного коммунального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4D4F">
        <w:rPr>
          <w:rFonts w:ascii="Times New Roman" w:hAnsi="Times New Roman" w:cs="Times New Roman"/>
          <w:sz w:val="30"/>
          <w:szCs w:val="30"/>
        </w:rPr>
        <w:t>обсл</w:t>
      </w:r>
      <w:r w:rsidRPr="00884D4F">
        <w:rPr>
          <w:rFonts w:ascii="Times New Roman" w:hAnsi="Times New Roman" w:cs="Times New Roman"/>
          <w:sz w:val="30"/>
          <w:szCs w:val="30"/>
        </w:rPr>
        <w:t>у</w:t>
      </w:r>
      <w:r w:rsidRPr="00884D4F">
        <w:rPr>
          <w:rFonts w:ascii="Times New Roman" w:hAnsi="Times New Roman" w:cs="Times New Roman"/>
          <w:sz w:val="30"/>
          <w:szCs w:val="30"/>
        </w:rPr>
        <w:t>живания и повышению конкурентоспособности стран</w:t>
      </w:r>
      <w:r w:rsidR="006451C8">
        <w:rPr>
          <w:rFonts w:ascii="Times New Roman" w:hAnsi="Times New Roman" w:cs="Times New Roman"/>
          <w:sz w:val="30"/>
          <w:szCs w:val="30"/>
        </w:rPr>
        <w:t xml:space="preserve"> </w:t>
      </w:r>
      <w:r w:rsidR="00C84A26">
        <w:rPr>
          <w:rFonts w:ascii="Times New Roman" w:hAnsi="Times New Roman" w:cs="Times New Roman"/>
          <w:sz w:val="30"/>
          <w:szCs w:val="30"/>
        </w:rPr>
        <w:t>[6</w:t>
      </w:r>
      <w:r w:rsidRPr="008A2644">
        <w:rPr>
          <w:rFonts w:ascii="Times New Roman" w:hAnsi="Times New Roman" w:cs="Times New Roman"/>
          <w:sz w:val="30"/>
          <w:szCs w:val="30"/>
        </w:rPr>
        <w:t>]</w:t>
      </w:r>
      <w:r w:rsidR="006451C8">
        <w:rPr>
          <w:rFonts w:ascii="Times New Roman" w:hAnsi="Times New Roman" w:cs="Times New Roman"/>
          <w:sz w:val="30"/>
          <w:szCs w:val="30"/>
        </w:rPr>
        <w:t>.</w:t>
      </w:r>
    </w:p>
    <w:p w:rsidR="00884D4F" w:rsidRDefault="00E37FE8" w:rsidP="00884D4F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 США</w:t>
      </w:r>
      <w:r w:rsidR="00884D4F">
        <w:rPr>
          <w:rFonts w:ascii="Times New Roman" w:hAnsi="Times New Roman" w:cs="Times New Roman"/>
          <w:sz w:val="30"/>
          <w:szCs w:val="30"/>
        </w:rPr>
        <w:t xml:space="preserve"> ГЧП понимается как </w:t>
      </w:r>
      <w:r w:rsidR="00884D4F" w:rsidRPr="00884D4F">
        <w:rPr>
          <w:rFonts w:ascii="Times New Roman" w:hAnsi="Times New Roman" w:cs="Times New Roman"/>
          <w:sz w:val="30"/>
          <w:szCs w:val="30"/>
        </w:rPr>
        <w:t>«закрепленное в договорной форме соглашение между государством и частной</w:t>
      </w:r>
      <w:r w:rsidR="00884D4F">
        <w:rPr>
          <w:rFonts w:ascii="Times New Roman" w:hAnsi="Times New Roman" w:cs="Times New Roman"/>
          <w:sz w:val="30"/>
          <w:szCs w:val="30"/>
        </w:rPr>
        <w:t xml:space="preserve"> </w:t>
      </w:r>
      <w:r w:rsidR="00884D4F" w:rsidRPr="00884D4F">
        <w:rPr>
          <w:rFonts w:ascii="Times New Roman" w:hAnsi="Times New Roman" w:cs="Times New Roman"/>
          <w:sz w:val="30"/>
          <w:szCs w:val="30"/>
        </w:rPr>
        <w:t>компанией, позволяющее последней определенным образом участвовать в</w:t>
      </w:r>
      <w:r w:rsidR="00884D4F">
        <w:rPr>
          <w:rFonts w:ascii="Times New Roman" w:hAnsi="Times New Roman" w:cs="Times New Roman"/>
          <w:sz w:val="30"/>
          <w:szCs w:val="30"/>
        </w:rPr>
        <w:t xml:space="preserve"> </w:t>
      </w:r>
      <w:r w:rsidR="00884D4F" w:rsidRPr="00884D4F">
        <w:rPr>
          <w:rFonts w:ascii="Times New Roman" w:hAnsi="Times New Roman" w:cs="Times New Roman"/>
          <w:sz w:val="30"/>
          <w:szCs w:val="30"/>
        </w:rPr>
        <w:t>государственной собственности в большей степени по сравнению с</w:t>
      </w:r>
      <w:r w:rsidR="00884D4F">
        <w:rPr>
          <w:rFonts w:ascii="Times New Roman" w:hAnsi="Times New Roman" w:cs="Times New Roman"/>
          <w:sz w:val="30"/>
          <w:szCs w:val="30"/>
        </w:rPr>
        <w:t xml:space="preserve"> </w:t>
      </w:r>
      <w:r w:rsidR="00884D4F" w:rsidRPr="00884D4F">
        <w:rPr>
          <w:rFonts w:ascii="Times New Roman" w:hAnsi="Times New Roman" w:cs="Times New Roman"/>
          <w:sz w:val="30"/>
          <w:szCs w:val="30"/>
        </w:rPr>
        <w:t>существующей практикой.</w:t>
      </w:r>
      <w:proofErr w:type="gramEnd"/>
      <w:r w:rsidR="00884D4F" w:rsidRPr="00884D4F">
        <w:rPr>
          <w:rFonts w:ascii="Times New Roman" w:hAnsi="Times New Roman" w:cs="Times New Roman"/>
          <w:sz w:val="30"/>
          <w:szCs w:val="30"/>
        </w:rPr>
        <w:t xml:space="preserve"> Такое соглашение </w:t>
      </w:r>
      <w:r w:rsidR="005A534B">
        <w:rPr>
          <w:rFonts w:ascii="Times New Roman" w:hAnsi="Times New Roman" w:cs="Times New Roman"/>
          <w:sz w:val="30"/>
          <w:szCs w:val="30"/>
        </w:rPr>
        <w:t>подкрепляется</w:t>
      </w:r>
      <w:r w:rsidR="00884D4F">
        <w:rPr>
          <w:rFonts w:ascii="Times New Roman" w:hAnsi="Times New Roman" w:cs="Times New Roman"/>
          <w:sz w:val="30"/>
          <w:szCs w:val="30"/>
        </w:rPr>
        <w:t xml:space="preserve"> </w:t>
      </w:r>
      <w:r w:rsidR="00884D4F" w:rsidRPr="00884D4F">
        <w:rPr>
          <w:rFonts w:ascii="Times New Roman" w:hAnsi="Times New Roman" w:cs="Times New Roman"/>
          <w:sz w:val="30"/>
          <w:szCs w:val="30"/>
        </w:rPr>
        <w:t>контрак</w:t>
      </w:r>
      <w:r w:rsidR="005A534B">
        <w:rPr>
          <w:rFonts w:ascii="Times New Roman" w:hAnsi="Times New Roman" w:cs="Times New Roman"/>
          <w:sz w:val="30"/>
          <w:szCs w:val="30"/>
        </w:rPr>
        <w:t>том</w:t>
      </w:r>
      <w:r w:rsidR="00884D4F" w:rsidRPr="00884D4F">
        <w:rPr>
          <w:rFonts w:ascii="Times New Roman" w:hAnsi="Times New Roman" w:cs="Times New Roman"/>
          <w:sz w:val="30"/>
          <w:szCs w:val="30"/>
        </w:rPr>
        <w:t xml:space="preserve"> соотве</w:t>
      </w:r>
      <w:r w:rsidR="00884D4F" w:rsidRPr="00884D4F">
        <w:rPr>
          <w:rFonts w:ascii="Times New Roman" w:hAnsi="Times New Roman" w:cs="Times New Roman"/>
          <w:sz w:val="30"/>
          <w:szCs w:val="30"/>
        </w:rPr>
        <w:t>т</w:t>
      </w:r>
      <w:r w:rsidR="00884D4F" w:rsidRPr="00884D4F">
        <w:rPr>
          <w:rFonts w:ascii="Times New Roman" w:hAnsi="Times New Roman" w:cs="Times New Roman"/>
          <w:sz w:val="30"/>
          <w:szCs w:val="30"/>
        </w:rPr>
        <w:t>ствующего правительственного агентства с частной</w:t>
      </w:r>
      <w:r w:rsidR="00884D4F">
        <w:rPr>
          <w:rFonts w:ascii="Times New Roman" w:hAnsi="Times New Roman" w:cs="Times New Roman"/>
          <w:sz w:val="30"/>
          <w:szCs w:val="30"/>
        </w:rPr>
        <w:t xml:space="preserve"> </w:t>
      </w:r>
      <w:r w:rsidR="00884D4F" w:rsidRPr="00884D4F">
        <w:rPr>
          <w:rFonts w:ascii="Times New Roman" w:hAnsi="Times New Roman" w:cs="Times New Roman"/>
          <w:sz w:val="30"/>
          <w:szCs w:val="30"/>
        </w:rPr>
        <w:t>компанией, предметом которого выступает реконструкция, строительство</w:t>
      </w:r>
      <w:r w:rsidR="00884D4F">
        <w:rPr>
          <w:rFonts w:ascii="Times New Roman" w:hAnsi="Times New Roman" w:cs="Times New Roman"/>
          <w:sz w:val="30"/>
          <w:szCs w:val="30"/>
        </w:rPr>
        <w:t xml:space="preserve"> </w:t>
      </w:r>
      <w:r w:rsidR="00884D4F" w:rsidRPr="00884D4F">
        <w:rPr>
          <w:rFonts w:ascii="Times New Roman" w:hAnsi="Times New Roman" w:cs="Times New Roman"/>
          <w:sz w:val="30"/>
          <w:szCs w:val="30"/>
        </w:rPr>
        <w:t xml:space="preserve">объекта </w:t>
      </w:r>
      <w:r w:rsidR="00884D4F" w:rsidRPr="00884D4F">
        <w:rPr>
          <w:rFonts w:ascii="Times New Roman" w:hAnsi="Times New Roman" w:cs="Times New Roman"/>
          <w:sz w:val="30"/>
          <w:szCs w:val="30"/>
        </w:rPr>
        <w:lastRenderedPageBreak/>
        <w:t>государственной собственности и (или) его эксплуатация, управление и</w:t>
      </w:r>
      <w:r w:rsidR="00884D4F">
        <w:rPr>
          <w:rFonts w:ascii="Times New Roman" w:hAnsi="Times New Roman" w:cs="Times New Roman"/>
          <w:sz w:val="30"/>
          <w:szCs w:val="30"/>
        </w:rPr>
        <w:t xml:space="preserve"> </w:t>
      </w:r>
      <w:r w:rsidR="00884D4F" w:rsidRPr="00884D4F">
        <w:rPr>
          <w:rFonts w:ascii="Times New Roman" w:hAnsi="Times New Roman" w:cs="Times New Roman"/>
          <w:sz w:val="30"/>
          <w:szCs w:val="30"/>
        </w:rPr>
        <w:t>т</w:t>
      </w:r>
      <w:r w:rsidR="006451C8">
        <w:rPr>
          <w:rFonts w:ascii="Times New Roman" w:hAnsi="Times New Roman" w:cs="Times New Roman"/>
          <w:sz w:val="30"/>
          <w:szCs w:val="30"/>
        </w:rPr>
        <w:t xml:space="preserve">.д.» </w:t>
      </w:r>
      <w:r w:rsidR="00884D4F" w:rsidRPr="00070407">
        <w:rPr>
          <w:rFonts w:ascii="Times New Roman" w:hAnsi="Times New Roman" w:cs="Times New Roman"/>
          <w:sz w:val="30"/>
          <w:szCs w:val="30"/>
        </w:rPr>
        <w:t>[2]</w:t>
      </w:r>
      <w:r w:rsidR="006451C8">
        <w:rPr>
          <w:rFonts w:ascii="Times New Roman" w:hAnsi="Times New Roman" w:cs="Times New Roman"/>
          <w:sz w:val="30"/>
          <w:szCs w:val="30"/>
        </w:rPr>
        <w:t>.</w:t>
      </w:r>
    </w:p>
    <w:p w:rsidR="00AA0A7D" w:rsidRPr="00AA0A7D" w:rsidRDefault="006D0D5B" w:rsidP="00AA0A7D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России </w:t>
      </w:r>
      <w:r w:rsidR="008A2644">
        <w:rPr>
          <w:rFonts w:ascii="Times New Roman" w:hAnsi="Times New Roman" w:cs="Times New Roman"/>
          <w:sz w:val="30"/>
          <w:szCs w:val="30"/>
        </w:rPr>
        <w:t xml:space="preserve">в течение трехлетнего периода формируется </w:t>
      </w:r>
      <w:r w:rsidR="00AA0A7D">
        <w:rPr>
          <w:rFonts w:ascii="Times New Roman" w:hAnsi="Times New Roman" w:cs="Times New Roman"/>
          <w:sz w:val="30"/>
          <w:szCs w:val="30"/>
        </w:rPr>
        <w:t>рейтинг регионов по</w:t>
      </w:r>
      <w:r w:rsidR="00E37FE8">
        <w:rPr>
          <w:rFonts w:ascii="Times New Roman" w:hAnsi="Times New Roman" w:cs="Times New Roman"/>
          <w:sz w:val="30"/>
          <w:szCs w:val="30"/>
        </w:rPr>
        <w:t xml:space="preserve"> </w:t>
      </w:r>
      <w:r w:rsidR="00420445">
        <w:rPr>
          <w:rFonts w:ascii="Times New Roman" w:hAnsi="Times New Roman" w:cs="Times New Roman"/>
          <w:sz w:val="30"/>
          <w:szCs w:val="30"/>
        </w:rPr>
        <w:t>уровню развития</w:t>
      </w:r>
      <w:r w:rsidR="00AA0A7D">
        <w:rPr>
          <w:rFonts w:ascii="Times New Roman" w:hAnsi="Times New Roman" w:cs="Times New Roman"/>
          <w:sz w:val="30"/>
          <w:szCs w:val="30"/>
        </w:rPr>
        <w:t xml:space="preserve"> </w:t>
      </w:r>
      <w:r w:rsidR="00E37FE8">
        <w:rPr>
          <w:rFonts w:ascii="Times New Roman" w:hAnsi="Times New Roman" w:cs="Times New Roman"/>
          <w:sz w:val="30"/>
          <w:szCs w:val="30"/>
        </w:rPr>
        <w:t>ГЧП</w:t>
      </w:r>
      <w:r w:rsidR="008A2644">
        <w:rPr>
          <w:rFonts w:ascii="Times New Roman" w:hAnsi="Times New Roman" w:cs="Times New Roman"/>
          <w:sz w:val="30"/>
          <w:szCs w:val="30"/>
        </w:rPr>
        <w:t xml:space="preserve">, цель которого - </w:t>
      </w:r>
      <w:r w:rsidR="00AA0A7D" w:rsidRPr="00AA0A7D">
        <w:rPr>
          <w:rFonts w:ascii="Times New Roman" w:hAnsi="Times New Roman" w:cs="Times New Roman"/>
          <w:sz w:val="30"/>
          <w:szCs w:val="30"/>
        </w:rPr>
        <w:t>комплек</w:t>
      </w:r>
      <w:r w:rsidR="00AA0A7D">
        <w:rPr>
          <w:rFonts w:ascii="Times New Roman" w:hAnsi="Times New Roman" w:cs="Times New Roman"/>
          <w:sz w:val="30"/>
          <w:szCs w:val="30"/>
        </w:rPr>
        <w:t xml:space="preserve">сная оценка потенциала субъекта </w:t>
      </w:r>
      <w:r w:rsidR="00AA0A7D" w:rsidRPr="00AA0A7D">
        <w:rPr>
          <w:rFonts w:ascii="Times New Roman" w:hAnsi="Times New Roman" w:cs="Times New Roman"/>
          <w:sz w:val="30"/>
          <w:szCs w:val="30"/>
        </w:rPr>
        <w:t>РФ для привлечения частных инвести</w:t>
      </w:r>
      <w:r w:rsidR="00AA0A7D">
        <w:rPr>
          <w:rFonts w:ascii="Times New Roman" w:hAnsi="Times New Roman" w:cs="Times New Roman"/>
          <w:sz w:val="30"/>
          <w:szCs w:val="30"/>
        </w:rPr>
        <w:t xml:space="preserve">ций </w:t>
      </w:r>
      <w:r w:rsidR="00AA0A7D" w:rsidRPr="00AA0A7D">
        <w:rPr>
          <w:rFonts w:ascii="Times New Roman" w:hAnsi="Times New Roman" w:cs="Times New Roman"/>
          <w:sz w:val="30"/>
          <w:szCs w:val="30"/>
        </w:rPr>
        <w:t xml:space="preserve">в </w:t>
      </w:r>
      <w:r w:rsidR="00AA0A7D">
        <w:rPr>
          <w:rFonts w:ascii="Times New Roman" w:hAnsi="Times New Roman" w:cs="Times New Roman"/>
          <w:sz w:val="30"/>
          <w:szCs w:val="30"/>
        </w:rPr>
        <w:t xml:space="preserve">проекты государственно-частного </w:t>
      </w:r>
      <w:r w:rsidR="00AA0A7D" w:rsidRPr="00AA0A7D">
        <w:rPr>
          <w:rFonts w:ascii="Times New Roman" w:hAnsi="Times New Roman" w:cs="Times New Roman"/>
          <w:sz w:val="30"/>
          <w:szCs w:val="30"/>
        </w:rPr>
        <w:t>партнерст</w:t>
      </w:r>
      <w:r w:rsidR="00AA0A7D">
        <w:rPr>
          <w:rFonts w:ascii="Times New Roman" w:hAnsi="Times New Roman" w:cs="Times New Roman"/>
          <w:sz w:val="30"/>
          <w:szCs w:val="30"/>
        </w:rPr>
        <w:t xml:space="preserve">ва. Результаты рейтинга с одной </w:t>
      </w:r>
      <w:r w:rsidR="00AA0A7D" w:rsidRPr="00AA0A7D">
        <w:rPr>
          <w:rFonts w:ascii="Times New Roman" w:hAnsi="Times New Roman" w:cs="Times New Roman"/>
          <w:sz w:val="30"/>
          <w:szCs w:val="30"/>
        </w:rPr>
        <w:t xml:space="preserve">стороны </w:t>
      </w:r>
      <w:r w:rsidR="00AA0A7D">
        <w:rPr>
          <w:rFonts w:ascii="Times New Roman" w:hAnsi="Times New Roman" w:cs="Times New Roman"/>
          <w:sz w:val="30"/>
          <w:szCs w:val="30"/>
        </w:rPr>
        <w:t xml:space="preserve">упрощают для частного инвестора процедуру выбора потенциального </w:t>
      </w:r>
      <w:r w:rsidR="00AA0A7D" w:rsidRPr="00AA0A7D">
        <w:rPr>
          <w:rFonts w:ascii="Times New Roman" w:hAnsi="Times New Roman" w:cs="Times New Roman"/>
          <w:sz w:val="30"/>
          <w:szCs w:val="30"/>
        </w:rPr>
        <w:t>пуб</w:t>
      </w:r>
      <w:r w:rsidR="00AA0A7D">
        <w:rPr>
          <w:rFonts w:ascii="Times New Roman" w:hAnsi="Times New Roman" w:cs="Times New Roman"/>
          <w:sz w:val="30"/>
          <w:szCs w:val="30"/>
        </w:rPr>
        <w:t xml:space="preserve">личного партнера для реализации </w:t>
      </w:r>
      <w:r w:rsidR="00AA0A7D" w:rsidRPr="00AA0A7D">
        <w:rPr>
          <w:rFonts w:ascii="Times New Roman" w:hAnsi="Times New Roman" w:cs="Times New Roman"/>
          <w:sz w:val="30"/>
          <w:szCs w:val="30"/>
        </w:rPr>
        <w:t>того ил</w:t>
      </w:r>
      <w:r w:rsidR="00AA0A7D">
        <w:rPr>
          <w:rFonts w:ascii="Times New Roman" w:hAnsi="Times New Roman" w:cs="Times New Roman"/>
          <w:sz w:val="30"/>
          <w:szCs w:val="30"/>
        </w:rPr>
        <w:t xml:space="preserve">и иного проекта ГЧП, с другой – стимулируют региональные администрации совершенствовать </w:t>
      </w:r>
      <w:r w:rsidR="00AA0A7D" w:rsidRPr="00AA0A7D">
        <w:rPr>
          <w:rFonts w:ascii="Times New Roman" w:hAnsi="Times New Roman" w:cs="Times New Roman"/>
          <w:sz w:val="30"/>
          <w:szCs w:val="30"/>
        </w:rPr>
        <w:t>инст</w:t>
      </w:r>
      <w:r w:rsidR="00AA0A7D">
        <w:rPr>
          <w:rFonts w:ascii="Times New Roman" w:hAnsi="Times New Roman" w:cs="Times New Roman"/>
          <w:sz w:val="30"/>
          <w:szCs w:val="30"/>
        </w:rPr>
        <w:t xml:space="preserve">итуциональную среду в сфере ГЧП </w:t>
      </w:r>
      <w:r w:rsidR="00AA0A7D" w:rsidRPr="00AA0A7D">
        <w:rPr>
          <w:rFonts w:ascii="Times New Roman" w:hAnsi="Times New Roman" w:cs="Times New Roman"/>
          <w:sz w:val="30"/>
          <w:szCs w:val="30"/>
        </w:rPr>
        <w:t>и н</w:t>
      </w:r>
      <w:r w:rsidR="00AA0A7D">
        <w:rPr>
          <w:rFonts w:ascii="Times New Roman" w:hAnsi="Times New Roman" w:cs="Times New Roman"/>
          <w:sz w:val="30"/>
          <w:szCs w:val="30"/>
        </w:rPr>
        <w:t>акапл</w:t>
      </w:r>
      <w:r w:rsidR="00AA0A7D">
        <w:rPr>
          <w:rFonts w:ascii="Times New Roman" w:hAnsi="Times New Roman" w:cs="Times New Roman"/>
          <w:sz w:val="30"/>
          <w:szCs w:val="30"/>
        </w:rPr>
        <w:t>и</w:t>
      </w:r>
      <w:r w:rsidR="00AA0A7D">
        <w:rPr>
          <w:rFonts w:ascii="Times New Roman" w:hAnsi="Times New Roman" w:cs="Times New Roman"/>
          <w:sz w:val="30"/>
          <w:szCs w:val="30"/>
        </w:rPr>
        <w:t xml:space="preserve">вать опыт реализации ГЧП – </w:t>
      </w:r>
      <w:r w:rsidR="00AA0A7D" w:rsidRPr="00AA0A7D">
        <w:rPr>
          <w:rFonts w:ascii="Times New Roman" w:hAnsi="Times New Roman" w:cs="Times New Roman"/>
          <w:sz w:val="30"/>
          <w:szCs w:val="30"/>
        </w:rPr>
        <w:t>проектов.</w:t>
      </w:r>
      <w:r w:rsidR="00AA0A7D">
        <w:rPr>
          <w:rFonts w:ascii="Times New Roman" w:hAnsi="Times New Roman" w:cs="Times New Roman"/>
          <w:sz w:val="30"/>
          <w:szCs w:val="30"/>
        </w:rPr>
        <w:t xml:space="preserve"> </w:t>
      </w:r>
      <w:r w:rsidR="00AA0A7D" w:rsidRPr="006D0D5B">
        <w:rPr>
          <w:rFonts w:ascii="Times New Roman" w:hAnsi="Times New Roman" w:cs="Times New Roman"/>
          <w:sz w:val="30"/>
          <w:szCs w:val="30"/>
        </w:rPr>
        <w:t>[</w:t>
      </w:r>
      <w:r w:rsidR="00C84A26">
        <w:rPr>
          <w:rFonts w:ascii="Times New Roman" w:hAnsi="Times New Roman" w:cs="Times New Roman"/>
          <w:sz w:val="30"/>
          <w:szCs w:val="30"/>
        </w:rPr>
        <w:t>3</w:t>
      </w:r>
      <w:r w:rsidR="00AA0A7D" w:rsidRPr="006D0D5B">
        <w:rPr>
          <w:rFonts w:ascii="Times New Roman" w:hAnsi="Times New Roman" w:cs="Times New Roman"/>
          <w:sz w:val="30"/>
          <w:szCs w:val="30"/>
        </w:rPr>
        <w:t>]</w:t>
      </w:r>
    </w:p>
    <w:p w:rsidR="00070407" w:rsidRPr="00070407" w:rsidRDefault="008A2644" w:rsidP="00070407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Результаты данного </w:t>
      </w:r>
      <w:r w:rsidR="00070407">
        <w:rPr>
          <w:rFonts w:ascii="Times New Roman" w:hAnsi="Times New Roman" w:cs="Times New Roman"/>
          <w:sz w:val="30"/>
          <w:szCs w:val="30"/>
        </w:rPr>
        <w:t xml:space="preserve">рейтинга можно </w:t>
      </w:r>
      <w:r w:rsidR="00070407" w:rsidRPr="00070407">
        <w:rPr>
          <w:rFonts w:ascii="Times New Roman" w:hAnsi="Times New Roman" w:cs="Times New Roman"/>
          <w:sz w:val="30"/>
          <w:szCs w:val="30"/>
        </w:rPr>
        <w:t>разделить на 5 групп по уровню развития</w:t>
      </w:r>
      <w:r w:rsidR="00070407">
        <w:rPr>
          <w:rFonts w:ascii="Times New Roman" w:hAnsi="Times New Roman" w:cs="Times New Roman"/>
          <w:sz w:val="30"/>
          <w:szCs w:val="30"/>
        </w:rPr>
        <w:t xml:space="preserve"> </w:t>
      </w:r>
      <w:r w:rsidR="00070407" w:rsidRPr="00070407">
        <w:rPr>
          <w:rFonts w:ascii="Times New Roman" w:hAnsi="Times New Roman" w:cs="Times New Roman"/>
          <w:sz w:val="30"/>
          <w:szCs w:val="30"/>
        </w:rPr>
        <w:t>государственно-частного партнерства:</w:t>
      </w:r>
    </w:p>
    <w:p w:rsidR="00070407" w:rsidRPr="00420445" w:rsidRDefault="00070407" w:rsidP="00420445">
      <w:pPr>
        <w:pStyle w:val="a3"/>
        <w:numPr>
          <w:ilvl w:val="0"/>
          <w:numId w:val="5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420445">
        <w:rPr>
          <w:sz w:val="30"/>
          <w:szCs w:val="30"/>
        </w:rPr>
        <w:t xml:space="preserve">регионы – лидеры </w:t>
      </w:r>
      <w:r w:rsidR="005A534B">
        <w:rPr>
          <w:sz w:val="30"/>
          <w:szCs w:val="30"/>
        </w:rPr>
        <w:t>по уровню развития ГЧП – 60-75%;</w:t>
      </w:r>
    </w:p>
    <w:p w:rsidR="00070407" w:rsidRPr="00420445" w:rsidRDefault="00070407" w:rsidP="00420445">
      <w:pPr>
        <w:pStyle w:val="a3"/>
        <w:numPr>
          <w:ilvl w:val="0"/>
          <w:numId w:val="5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420445">
        <w:rPr>
          <w:sz w:val="30"/>
          <w:szCs w:val="30"/>
        </w:rPr>
        <w:t>регионы с высоки</w:t>
      </w:r>
      <w:r w:rsidR="005A534B">
        <w:rPr>
          <w:sz w:val="30"/>
          <w:szCs w:val="30"/>
        </w:rPr>
        <w:t>м уровнем развития ГЧП – 45-60%;</w:t>
      </w:r>
    </w:p>
    <w:p w:rsidR="00070407" w:rsidRPr="00420445" w:rsidRDefault="00070407" w:rsidP="00420445">
      <w:pPr>
        <w:pStyle w:val="a3"/>
        <w:numPr>
          <w:ilvl w:val="0"/>
          <w:numId w:val="5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420445">
        <w:rPr>
          <w:sz w:val="30"/>
          <w:szCs w:val="30"/>
        </w:rPr>
        <w:t>регионы со средни</w:t>
      </w:r>
      <w:r w:rsidR="005A534B">
        <w:rPr>
          <w:sz w:val="30"/>
          <w:szCs w:val="30"/>
        </w:rPr>
        <w:t>м уровнем развития ГЧП – 35-45%;</w:t>
      </w:r>
    </w:p>
    <w:p w:rsidR="00070407" w:rsidRPr="00420445" w:rsidRDefault="00070407" w:rsidP="00420445">
      <w:pPr>
        <w:pStyle w:val="a3"/>
        <w:numPr>
          <w:ilvl w:val="0"/>
          <w:numId w:val="5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420445">
        <w:rPr>
          <w:sz w:val="30"/>
          <w:szCs w:val="30"/>
        </w:rPr>
        <w:t>регионы с низки</w:t>
      </w:r>
      <w:r w:rsidR="005A534B">
        <w:rPr>
          <w:sz w:val="30"/>
          <w:szCs w:val="30"/>
        </w:rPr>
        <w:t>м уровнем развития ГЧП – 25-35%;</w:t>
      </w:r>
    </w:p>
    <w:p w:rsidR="00420445" w:rsidRPr="00420445" w:rsidRDefault="00070407" w:rsidP="00420445">
      <w:pPr>
        <w:pStyle w:val="a3"/>
        <w:numPr>
          <w:ilvl w:val="0"/>
          <w:numId w:val="5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420445">
        <w:rPr>
          <w:sz w:val="30"/>
          <w:szCs w:val="30"/>
        </w:rPr>
        <w:t>регионы с очень низким уровнем развития ГЧП – 0-25%.</w:t>
      </w:r>
      <w:r w:rsidR="00C84A26">
        <w:rPr>
          <w:sz w:val="30"/>
          <w:szCs w:val="30"/>
        </w:rPr>
        <w:t>[3</w:t>
      </w:r>
      <w:r w:rsidR="00420445" w:rsidRPr="00420445">
        <w:rPr>
          <w:sz w:val="30"/>
          <w:szCs w:val="30"/>
        </w:rPr>
        <w:t>]</w:t>
      </w:r>
    </w:p>
    <w:p w:rsidR="006D0D5B" w:rsidRDefault="006D0D5B" w:rsidP="006D0D5B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таблице 1 представлена сравнительная характеристика </w:t>
      </w:r>
      <w:r w:rsidRPr="006D0D5B">
        <w:rPr>
          <w:rFonts w:ascii="Times New Roman" w:hAnsi="Times New Roman" w:cs="Times New Roman"/>
          <w:sz w:val="30"/>
          <w:szCs w:val="30"/>
        </w:rPr>
        <w:t>разв</w:t>
      </w:r>
      <w:r w:rsidRPr="006D0D5B">
        <w:rPr>
          <w:rFonts w:ascii="Times New Roman" w:hAnsi="Times New Roman" w:cs="Times New Roman"/>
          <w:sz w:val="30"/>
          <w:szCs w:val="30"/>
        </w:rPr>
        <w:t>и</w:t>
      </w:r>
      <w:r w:rsidRPr="006D0D5B">
        <w:rPr>
          <w:rFonts w:ascii="Times New Roman" w:hAnsi="Times New Roman" w:cs="Times New Roman"/>
          <w:sz w:val="30"/>
          <w:szCs w:val="30"/>
        </w:rPr>
        <w:t xml:space="preserve">тия ГЧП </w:t>
      </w:r>
      <w:r>
        <w:rPr>
          <w:rFonts w:ascii="Times New Roman" w:hAnsi="Times New Roman" w:cs="Times New Roman"/>
          <w:sz w:val="30"/>
          <w:szCs w:val="30"/>
        </w:rPr>
        <w:t xml:space="preserve">по группам </w:t>
      </w:r>
      <w:r w:rsidRPr="006D0D5B">
        <w:rPr>
          <w:rFonts w:ascii="Times New Roman" w:hAnsi="Times New Roman" w:cs="Times New Roman"/>
          <w:sz w:val="30"/>
          <w:szCs w:val="30"/>
        </w:rPr>
        <w:t>в регионах РФ за 2014-2016 годы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D06C0" w:rsidRDefault="00DD06C0" w:rsidP="006D0D5B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6D0D5B" w:rsidRPr="000A68BE" w:rsidRDefault="006D0D5B" w:rsidP="00DD06C0">
      <w:pPr>
        <w:spacing w:after="0" w:line="30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Таблица 1 – Сравнительная характеристика </w:t>
      </w:r>
      <w:r w:rsidRPr="006D0D5B">
        <w:rPr>
          <w:rFonts w:ascii="Times New Roman" w:hAnsi="Times New Roman" w:cs="Times New Roman"/>
          <w:sz w:val="30"/>
          <w:szCs w:val="30"/>
        </w:rPr>
        <w:t xml:space="preserve">развития ГЧП </w:t>
      </w:r>
      <w:r>
        <w:rPr>
          <w:rFonts w:ascii="Times New Roman" w:hAnsi="Times New Roman" w:cs="Times New Roman"/>
          <w:sz w:val="30"/>
          <w:szCs w:val="30"/>
        </w:rPr>
        <w:t xml:space="preserve">по группам </w:t>
      </w:r>
      <w:r w:rsidRPr="006D0D5B">
        <w:rPr>
          <w:rFonts w:ascii="Times New Roman" w:hAnsi="Times New Roman" w:cs="Times New Roman"/>
          <w:sz w:val="30"/>
          <w:szCs w:val="30"/>
        </w:rPr>
        <w:t>в регионах РФ за 2014-2016 годы</w:t>
      </w:r>
      <w:r w:rsidR="000A68BE">
        <w:rPr>
          <w:rFonts w:ascii="Times New Roman" w:hAnsi="Times New Roman" w:cs="Times New Roman"/>
          <w:sz w:val="30"/>
          <w:szCs w:val="30"/>
        </w:rPr>
        <w:t xml:space="preserve"> </w:t>
      </w:r>
      <w:r w:rsidR="000A68BE" w:rsidRPr="000A68BE">
        <w:rPr>
          <w:rFonts w:ascii="Times New Roman" w:hAnsi="Times New Roman" w:cs="Times New Roman"/>
          <w:sz w:val="30"/>
          <w:szCs w:val="30"/>
        </w:rPr>
        <w:t>[</w:t>
      </w:r>
      <w:r w:rsidR="00C84A26">
        <w:rPr>
          <w:rFonts w:ascii="Times New Roman" w:hAnsi="Times New Roman" w:cs="Times New Roman"/>
          <w:sz w:val="30"/>
          <w:szCs w:val="30"/>
        </w:rPr>
        <w:t>3, 4, 5</w:t>
      </w:r>
      <w:r w:rsidR="000A68BE" w:rsidRPr="000A68BE">
        <w:rPr>
          <w:rFonts w:ascii="Times New Roman" w:hAnsi="Times New Roman" w:cs="Times New Roman"/>
          <w:sz w:val="30"/>
          <w:szCs w:val="30"/>
        </w:rPr>
        <w:t>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6"/>
        <w:gridCol w:w="2634"/>
        <w:gridCol w:w="754"/>
        <w:gridCol w:w="754"/>
        <w:gridCol w:w="754"/>
        <w:gridCol w:w="1536"/>
        <w:gridCol w:w="1072"/>
        <w:gridCol w:w="1116"/>
      </w:tblGrid>
      <w:tr w:rsidR="00DD06C0" w:rsidRPr="006D0D5B" w:rsidTr="00511994">
        <w:trPr>
          <w:trHeight w:val="823"/>
        </w:trPr>
        <w:tc>
          <w:tcPr>
            <w:tcW w:w="666" w:type="dxa"/>
            <w:vAlign w:val="center"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34" w:type="dxa"/>
            <w:noWrap/>
            <w:vAlign w:val="center"/>
            <w:hideMark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2014 в %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2015 в %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2016 в %</w:t>
            </w:r>
          </w:p>
        </w:tc>
        <w:tc>
          <w:tcPr>
            <w:tcW w:w="1536" w:type="dxa"/>
            <w:vAlign w:val="center"/>
            <w:hideMark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личество позиций 2015/2014</w:t>
            </w:r>
          </w:p>
        </w:tc>
        <w:tc>
          <w:tcPr>
            <w:tcW w:w="1072" w:type="dxa"/>
            <w:vAlign w:val="center"/>
            <w:hideMark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Темп роста 2015 к 2014</w:t>
            </w:r>
          </w:p>
        </w:tc>
        <w:tc>
          <w:tcPr>
            <w:tcW w:w="1116" w:type="dxa"/>
            <w:vAlign w:val="center"/>
            <w:hideMark/>
          </w:tcPr>
          <w:p w:rsidR="00DD06C0" w:rsidRPr="006D0D5B" w:rsidRDefault="00DD06C0" w:rsidP="0051199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Темп роста 2016 к 2015</w:t>
            </w:r>
          </w:p>
        </w:tc>
      </w:tr>
      <w:tr w:rsidR="00DD06C0" w:rsidRPr="006D0D5B" w:rsidTr="00511994">
        <w:trPr>
          <w:trHeight w:val="285"/>
        </w:trPr>
        <w:tc>
          <w:tcPr>
            <w:tcW w:w="9286" w:type="dxa"/>
            <w:gridSpan w:val="8"/>
            <w:vAlign w:val="center"/>
          </w:tcPr>
          <w:p w:rsidR="00DD06C0" w:rsidRPr="002D354E" w:rsidRDefault="00FA0E52" w:rsidP="002D354E">
            <w:pPr>
              <w:pStyle w:val="a3"/>
              <w:numPr>
                <w:ilvl w:val="0"/>
                <w:numId w:val="4"/>
              </w:numPr>
              <w:jc w:val="center"/>
            </w:pPr>
            <w:r>
              <w:t>Р</w:t>
            </w:r>
            <w:r w:rsidR="00DD06C0" w:rsidRPr="002D354E">
              <w:t>егионы – лидеры по уровню развития ГЧП – 60-75%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-4,7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-9,3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Татарстан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-3,9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-23,7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Новосибирская о</w:t>
            </w: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65,5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57,4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-3,6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-4,5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-4,3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-9,9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Нижегородская о</w:t>
            </w: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-0,8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-7,9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Воронежская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DD06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-21</w:t>
            </w:r>
          </w:p>
        </w:tc>
      </w:tr>
      <w:tr w:rsidR="00DD06C0" w:rsidRPr="006D0D5B" w:rsidTr="002D354E">
        <w:trPr>
          <w:trHeight w:val="300"/>
        </w:trPr>
        <w:tc>
          <w:tcPr>
            <w:tcW w:w="666" w:type="dxa"/>
            <w:vAlign w:val="center"/>
          </w:tcPr>
          <w:p w:rsidR="00DD06C0" w:rsidRPr="00DD06C0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0" w:type="dxa"/>
            <w:gridSpan w:val="7"/>
            <w:noWrap/>
            <w:vAlign w:val="center"/>
          </w:tcPr>
          <w:p w:rsidR="00DD06C0" w:rsidRPr="002D354E" w:rsidRDefault="00E37FE8" w:rsidP="002D354E">
            <w:pPr>
              <w:pStyle w:val="a3"/>
              <w:numPr>
                <w:ilvl w:val="0"/>
                <w:numId w:val="4"/>
              </w:numPr>
              <w:jc w:val="center"/>
            </w:pPr>
            <w:r>
              <w:t>Р</w:t>
            </w:r>
            <w:r w:rsidR="00DD06C0" w:rsidRPr="002D354E">
              <w:t>егионы с высоким уровнем развития ГЧП – 45-60%</w:t>
            </w:r>
          </w:p>
        </w:tc>
      </w:tr>
      <w:tr w:rsidR="002D354E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-3,6</w:t>
            </w:r>
          </w:p>
        </w:tc>
      </w:tr>
      <w:tr w:rsidR="002D354E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-25,9</w:t>
            </w:r>
          </w:p>
        </w:tc>
      </w:tr>
      <w:tr w:rsidR="002D354E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Ханты-Мансийский АО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-4,8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-15,6</w:t>
            </w:r>
          </w:p>
        </w:tc>
      </w:tr>
      <w:tr w:rsidR="002D354E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Липецкая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-23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-11,5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-13,4</w:t>
            </w:r>
          </w:p>
        </w:tc>
      </w:tr>
      <w:tr w:rsidR="002D354E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Башкорт</w:t>
            </w: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41,2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-13,1</w:t>
            </w:r>
          </w:p>
        </w:tc>
      </w:tr>
      <w:tr w:rsidR="002D354E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Астраханская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28,4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-18,7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DD06C0" w:rsidRPr="006D0D5B" w:rsidTr="00575279">
        <w:trPr>
          <w:trHeight w:val="300"/>
        </w:trPr>
        <w:tc>
          <w:tcPr>
            <w:tcW w:w="9286" w:type="dxa"/>
            <w:gridSpan w:val="8"/>
            <w:vAlign w:val="center"/>
          </w:tcPr>
          <w:p w:rsidR="00DD06C0" w:rsidRPr="002D354E" w:rsidRDefault="00E37FE8" w:rsidP="002D354E">
            <w:pPr>
              <w:pStyle w:val="a3"/>
              <w:numPr>
                <w:ilvl w:val="0"/>
                <w:numId w:val="4"/>
              </w:numPr>
              <w:jc w:val="center"/>
            </w:pPr>
            <w:r>
              <w:t>Р</w:t>
            </w:r>
            <w:r w:rsidR="00DD06C0" w:rsidRPr="002D354E">
              <w:t>егионы со средним уровнем развития ГЧП – 35-45%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Омская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-21,2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Курганская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-15,5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-13,8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+11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-6,3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-10,8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+25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-8,7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Сахалинская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-26,9</w:t>
            </w:r>
          </w:p>
        </w:tc>
      </w:tr>
      <w:tr w:rsidR="00DD06C0" w:rsidRPr="006D0D5B" w:rsidTr="00575279">
        <w:trPr>
          <w:trHeight w:val="300"/>
        </w:trPr>
        <w:tc>
          <w:tcPr>
            <w:tcW w:w="9286" w:type="dxa"/>
            <w:gridSpan w:val="8"/>
            <w:vAlign w:val="center"/>
          </w:tcPr>
          <w:p w:rsidR="00DD06C0" w:rsidRPr="002510AE" w:rsidRDefault="00E37FE8" w:rsidP="002510AE">
            <w:pPr>
              <w:pStyle w:val="a3"/>
              <w:numPr>
                <w:ilvl w:val="0"/>
                <w:numId w:val="4"/>
              </w:numPr>
              <w:jc w:val="center"/>
            </w:pPr>
            <w:r>
              <w:t>Р</w:t>
            </w:r>
            <w:r w:rsidR="00DD06C0" w:rsidRPr="002510AE">
              <w:t>егионы с низким уровнем развития ГЧП – 25-35%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Смоленская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-4,8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-13,2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-0,7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-15,3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Тверская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33,6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-25,3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Адыгея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-37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-22,7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-4,3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Марий Эл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+17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-4,5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-14,8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Чувашия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+32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-15,9</w:t>
            </w:r>
          </w:p>
        </w:tc>
      </w:tr>
      <w:tr w:rsidR="00DD06C0" w:rsidRPr="006D0D5B" w:rsidTr="00575279">
        <w:trPr>
          <w:trHeight w:val="300"/>
        </w:trPr>
        <w:tc>
          <w:tcPr>
            <w:tcW w:w="9286" w:type="dxa"/>
            <w:gridSpan w:val="8"/>
            <w:vAlign w:val="center"/>
          </w:tcPr>
          <w:p w:rsidR="00DD06C0" w:rsidRPr="00511994" w:rsidRDefault="00062946" w:rsidP="00511994">
            <w:pPr>
              <w:pStyle w:val="a3"/>
              <w:numPr>
                <w:ilvl w:val="0"/>
                <w:numId w:val="4"/>
              </w:numPr>
              <w:jc w:val="center"/>
            </w:pPr>
            <w:r>
              <w:t>Р</w:t>
            </w:r>
            <w:r w:rsidR="00DD06C0" w:rsidRPr="00511994">
              <w:t>егионы с очень низким уровнем развития ГЧП – 0-25%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Ингушетия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-16,4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-1,2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Ульяновская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+60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-7,9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Тюменская область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17,3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Хакасия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31,1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+26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-23,3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Карачаево-Черкесия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-8,2</w:t>
            </w:r>
          </w:p>
        </w:tc>
      </w:tr>
      <w:tr w:rsidR="00DD06C0" w:rsidRPr="006D0D5B" w:rsidTr="00575279">
        <w:trPr>
          <w:trHeight w:val="300"/>
        </w:trPr>
        <w:tc>
          <w:tcPr>
            <w:tcW w:w="666" w:type="dxa"/>
            <w:vAlign w:val="center"/>
          </w:tcPr>
          <w:p w:rsidR="00DD06C0" w:rsidRPr="006D0D5B" w:rsidRDefault="00DD06C0" w:rsidP="0057527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634" w:type="dxa"/>
            <w:noWrap/>
            <w:hideMark/>
          </w:tcPr>
          <w:p w:rsidR="00DD06C0" w:rsidRPr="006D0D5B" w:rsidRDefault="00DD06C0" w:rsidP="006D0D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Республика Крым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754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153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1116" w:type="dxa"/>
            <w:noWrap/>
            <w:vAlign w:val="center"/>
            <w:hideMark/>
          </w:tcPr>
          <w:p w:rsidR="00DD06C0" w:rsidRPr="006D0D5B" w:rsidRDefault="00DD06C0" w:rsidP="005C76D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D5B">
              <w:rPr>
                <w:rFonts w:ascii="Times New Roman" w:hAnsi="Times New Roman" w:cs="Times New Roman"/>
                <w:sz w:val="24"/>
                <w:szCs w:val="24"/>
              </w:rPr>
              <w:t>-6,6</w:t>
            </w:r>
          </w:p>
        </w:tc>
      </w:tr>
    </w:tbl>
    <w:p w:rsidR="00575279" w:rsidRDefault="00575279" w:rsidP="006D0D5B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30"/>
        </w:rPr>
      </w:pPr>
      <w:r w:rsidRPr="00575279">
        <w:rPr>
          <w:rFonts w:ascii="Times New Roman" w:hAnsi="Times New Roman" w:cs="Times New Roman"/>
          <w:sz w:val="24"/>
          <w:szCs w:val="30"/>
        </w:rPr>
        <w:t>*Данные взяты выборочно</w:t>
      </w:r>
      <w:r>
        <w:rPr>
          <w:rFonts w:ascii="Times New Roman" w:hAnsi="Times New Roman" w:cs="Times New Roman"/>
          <w:sz w:val="24"/>
          <w:szCs w:val="30"/>
        </w:rPr>
        <w:t>, анализ проводился по всей совокупности</w:t>
      </w:r>
    </w:p>
    <w:p w:rsidR="00575279" w:rsidRDefault="00575279" w:rsidP="006D0D5B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5C76DC" w:rsidRDefault="005C76DC" w:rsidP="005C76DC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Первая группа: </w:t>
      </w:r>
      <w:r w:rsidRPr="005C76DC">
        <w:rPr>
          <w:rFonts w:ascii="Times New Roman" w:hAnsi="Times New Roman" w:cs="Times New Roman"/>
          <w:sz w:val="30"/>
          <w:szCs w:val="30"/>
        </w:rPr>
        <w:t xml:space="preserve">регионы </w:t>
      </w:r>
      <w:r>
        <w:rPr>
          <w:rFonts w:ascii="Times New Roman" w:hAnsi="Times New Roman" w:cs="Times New Roman"/>
          <w:sz w:val="30"/>
          <w:szCs w:val="30"/>
        </w:rPr>
        <w:t>– лидеры по уровню развития ГЧП, с</w:t>
      </w:r>
      <w:r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да входят Санкт-Петербург, Республика Татарстан, </w:t>
      </w:r>
      <w:r w:rsidRPr="005C76DC">
        <w:rPr>
          <w:rFonts w:ascii="Times New Roman" w:hAnsi="Times New Roman" w:cs="Times New Roman"/>
          <w:sz w:val="30"/>
          <w:szCs w:val="30"/>
        </w:rPr>
        <w:t>Новосибирская об</w:t>
      </w:r>
      <w:r>
        <w:rPr>
          <w:rFonts w:ascii="Times New Roman" w:hAnsi="Times New Roman" w:cs="Times New Roman"/>
          <w:sz w:val="30"/>
          <w:szCs w:val="30"/>
        </w:rPr>
        <w:t xml:space="preserve">ласть, Свердловская область, Нижегородская область, </w:t>
      </w:r>
      <w:r w:rsidRPr="005C76DC">
        <w:rPr>
          <w:rFonts w:ascii="Times New Roman" w:hAnsi="Times New Roman" w:cs="Times New Roman"/>
          <w:sz w:val="30"/>
          <w:szCs w:val="30"/>
        </w:rPr>
        <w:t>Воронежская область</w:t>
      </w:r>
      <w:r w:rsidR="00062946">
        <w:rPr>
          <w:rFonts w:ascii="Times New Roman" w:hAnsi="Times New Roman" w:cs="Times New Roman"/>
          <w:sz w:val="30"/>
          <w:szCs w:val="30"/>
        </w:rPr>
        <w:t xml:space="preserve"> по данным на 2014 г</w:t>
      </w:r>
      <w:r>
        <w:rPr>
          <w:rFonts w:ascii="Times New Roman" w:hAnsi="Times New Roman" w:cs="Times New Roman"/>
          <w:sz w:val="30"/>
          <w:szCs w:val="30"/>
        </w:rPr>
        <w:t>. Сто</w:t>
      </w:r>
      <w:r w:rsidR="00062946">
        <w:rPr>
          <w:rFonts w:ascii="Times New Roman" w:hAnsi="Times New Roman" w:cs="Times New Roman"/>
          <w:sz w:val="30"/>
          <w:szCs w:val="30"/>
        </w:rPr>
        <w:t>ит отметить, что уже к 2016 г.</w:t>
      </w:r>
      <w:r>
        <w:rPr>
          <w:rFonts w:ascii="Times New Roman" w:hAnsi="Times New Roman" w:cs="Times New Roman"/>
          <w:sz w:val="30"/>
          <w:szCs w:val="30"/>
        </w:rPr>
        <w:t xml:space="preserve"> ни один из перечисленных субъектов РФ не входит в лидеры по уровню развития ГЧП. Наблюдается отрицательная прогрессирующая дин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мика темпов роста уровня ГЧП </w:t>
      </w:r>
      <w:r w:rsidR="000A68BE">
        <w:rPr>
          <w:rFonts w:ascii="Times New Roman" w:hAnsi="Times New Roman" w:cs="Times New Roman"/>
          <w:sz w:val="30"/>
          <w:szCs w:val="30"/>
        </w:rPr>
        <w:t xml:space="preserve">у этих регионов </w:t>
      </w:r>
      <w:r>
        <w:rPr>
          <w:rFonts w:ascii="Times New Roman" w:hAnsi="Times New Roman" w:cs="Times New Roman"/>
          <w:sz w:val="30"/>
          <w:szCs w:val="30"/>
        </w:rPr>
        <w:t>в периоды с 2014 по 2016 гг.</w:t>
      </w:r>
    </w:p>
    <w:p w:rsidR="00575279" w:rsidRDefault="00575279" w:rsidP="00575279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Вторая группа: </w:t>
      </w:r>
      <w:r w:rsidRPr="00575279">
        <w:rPr>
          <w:rFonts w:ascii="Times New Roman" w:hAnsi="Times New Roman" w:cs="Times New Roman"/>
          <w:sz w:val="30"/>
          <w:szCs w:val="30"/>
        </w:rPr>
        <w:t>регионы</w:t>
      </w:r>
      <w:r>
        <w:rPr>
          <w:rFonts w:ascii="Times New Roman" w:hAnsi="Times New Roman" w:cs="Times New Roman"/>
          <w:sz w:val="30"/>
          <w:szCs w:val="30"/>
        </w:rPr>
        <w:t xml:space="preserve"> с высоким уровнем развития ГЧП</w:t>
      </w:r>
      <w:r w:rsidR="005760F3">
        <w:rPr>
          <w:rFonts w:ascii="Times New Roman" w:hAnsi="Times New Roman" w:cs="Times New Roman"/>
          <w:sz w:val="30"/>
          <w:szCs w:val="30"/>
        </w:rPr>
        <w:t xml:space="preserve">, сюда входят </w:t>
      </w:r>
      <w:r>
        <w:rPr>
          <w:rFonts w:ascii="Times New Roman" w:hAnsi="Times New Roman" w:cs="Times New Roman"/>
          <w:sz w:val="30"/>
          <w:szCs w:val="30"/>
        </w:rPr>
        <w:t xml:space="preserve">Москва, Краснодарский край, Ханты-Мансийский АО, </w:t>
      </w:r>
      <w:r w:rsidRPr="00575279">
        <w:rPr>
          <w:rFonts w:ascii="Times New Roman" w:hAnsi="Times New Roman" w:cs="Times New Roman"/>
          <w:sz w:val="30"/>
          <w:szCs w:val="30"/>
        </w:rPr>
        <w:t>Липе</w:t>
      </w:r>
      <w:r w:rsidRPr="00575279">
        <w:rPr>
          <w:rFonts w:ascii="Times New Roman" w:hAnsi="Times New Roman" w:cs="Times New Roman"/>
          <w:sz w:val="30"/>
          <w:szCs w:val="30"/>
        </w:rPr>
        <w:t>ц</w:t>
      </w:r>
      <w:r w:rsidRPr="00575279">
        <w:rPr>
          <w:rFonts w:ascii="Times New Roman" w:hAnsi="Times New Roman" w:cs="Times New Roman"/>
          <w:sz w:val="30"/>
          <w:szCs w:val="30"/>
        </w:rPr>
        <w:t>кая область</w:t>
      </w:r>
      <w:r>
        <w:rPr>
          <w:rFonts w:ascii="Times New Roman" w:hAnsi="Times New Roman" w:cs="Times New Roman"/>
          <w:sz w:val="30"/>
          <w:szCs w:val="30"/>
        </w:rPr>
        <w:t xml:space="preserve"> и т.д. по данны</w:t>
      </w:r>
      <w:r w:rsidR="00062946">
        <w:rPr>
          <w:rFonts w:ascii="Times New Roman" w:hAnsi="Times New Roman" w:cs="Times New Roman"/>
          <w:sz w:val="30"/>
          <w:szCs w:val="30"/>
        </w:rPr>
        <w:t>м на 2014 г. В данных на 2016 г.</w:t>
      </w:r>
      <w:r w:rsidR="002D354E">
        <w:rPr>
          <w:rFonts w:ascii="Times New Roman" w:hAnsi="Times New Roman" w:cs="Times New Roman"/>
          <w:sz w:val="30"/>
          <w:szCs w:val="30"/>
        </w:rPr>
        <w:t xml:space="preserve"> </w:t>
      </w:r>
      <w:r w:rsidR="000A68BE">
        <w:rPr>
          <w:rFonts w:ascii="Times New Roman" w:hAnsi="Times New Roman" w:cs="Times New Roman"/>
          <w:sz w:val="30"/>
          <w:szCs w:val="30"/>
        </w:rPr>
        <w:t xml:space="preserve">81,25% </w:t>
      </w:r>
      <w:r w:rsidR="000A68BE">
        <w:rPr>
          <w:rFonts w:ascii="Times New Roman" w:hAnsi="Times New Roman" w:cs="Times New Roman"/>
          <w:sz w:val="30"/>
          <w:szCs w:val="30"/>
        </w:rPr>
        <w:lastRenderedPageBreak/>
        <w:t>субъектов РФ</w:t>
      </w:r>
      <w:r w:rsidR="002D354E">
        <w:rPr>
          <w:rFonts w:ascii="Times New Roman" w:hAnsi="Times New Roman" w:cs="Times New Roman"/>
          <w:sz w:val="30"/>
          <w:szCs w:val="30"/>
        </w:rPr>
        <w:t xml:space="preserve"> снизились в позициях также как и предыдущая группа. Однако есть регионы, в которых произошел рост уровня развития ГЧП (</w:t>
      </w:r>
      <w:r w:rsidR="005760F3">
        <w:rPr>
          <w:rFonts w:ascii="Times New Roman" w:hAnsi="Times New Roman" w:cs="Times New Roman"/>
          <w:sz w:val="30"/>
          <w:szCs w:val="30"/>
        </w:rPr>
        <w:t xml:space="preserve">например, </w:t>
      </w:r>
      <w:r w:rsidR="002D354E">
        <w:rPr>
          <w:rFonts w:ascii="Times New Roman" w:hAnsi="Times New Roman" w:cs="Times New Roman"/>
          <w:sz w:val="30"/>
          <w:szCs w:val="30"/>
        </w:rPr>
        <w:t>Москва).</w:t>
      </w:r>
    </w:p>
    <w:p w:rsidR="002510AE" w:rsidRDefault="005760F3" w:rsidP="002510AE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Третья группа</w:t>
      </w:r>
      <w:r w:rsidR="00AE78CD">
        <w:rPr>
          <w:rFonts w:ascii="Times New Roman" w:hAnsi="Times New Roman" w:cs="Times New Roman"/>
          <w:sz w:val="30"/>
          <w:szCs w:val="30"/>
        </w:rPr>
        <w:t xml:space="preserve"> 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760F3">
        <w:rPr>
          <w:rFonts w:ascii="Times New Roman" w:hAnsi="Times New Roman" w:cs="Times New Roman"/>
          <w:sz w:val="30"/>
          <w:szCs w:val="30"/>
        </w:rPr>
        <w:t xml:space="preserve">регионы </w:t>
      </w:r>
      <w:r>
        <w:rPr>
          <w:rFonts w:ascii="Times New Roman" w:hAnsi="Times New Roman" w:cs="Times New Roman"/>
          <w:sz w:val="30"/>
          <w:szCs w:val="30"/>
        </w:rPr>
        <w:t>со средним уровнем развития ГЧП, сюда входят</w:t>
      </w:r>
      <w:r w:rsidR="00AE78CD">
        <w:rPr>
          <w:rFonts w:ascii="Times New Roman" w:hAnsi="Times New Roman" w:cs="Times New Roman"/>
          <w:sz w:val="30"/>
          <w:szCs w:val="30"/>
        </w:rPr>
        <w:t>:</w:t>
      </w:r>
      <w:r>
        <w:rPr>
          <w:rFonts w:ascii="Times New Roman" w:hAnsi="Times New Roman" w:cs="Times New Roman"/>
          <w:sz w:val="30"/>
          <w:szCs w:val="30"/>
        </w:rPr>
        <w:t xml:space="preserve"> Омская область, Красноярский край, </w:t>
      </w:r>
      <w:r w:rsidRPr="005760F3">
        <w:rPr>
          <w:rFonts w:ascii="Times New Roman" w:hAnsi="Times New Roman" w:cs="Times New Roman"/>
          <w:sz w:val="30"/>
          <w:szCs w:val="30"/>
        </w:rPr>
        <w:t>Московская о</w:t>
      </w:r>
      <w:r w:rsidRPr="005760F3">
        <w:rPr>
          <w:rFonts w:ascii="Times New Roman" w:hAnsi="Times New Roman" w:cs="Times New Roman"/>
          <w:sz w:val="30"/>
          <w:szCs w:val="30"/>
        </w:rPr>
        <w:t>б</w:t>
      </w:r>
      <w:r w:rsidRPr="005760F3">
        <w:rPr>
          <w:rFonts w:ascii="Times New Roman" w:hAnsi="Times New Roman" w:cs="Times New Roman"/>
          <w:sz w:val="30"/>
          <w:szCs w:val="30"/>
        </w:rPr>
        <w:t>ласть</w:t>
      </w:r>
      <w:r w:rsidR="00FA0E52">
        <w:rPr>
          <w:rFonts w:ascii="Times New Roman" w:hAnsi="Times New Roman" w:cs="Times New Roman"/>
          <w:sz w:val="30"/>
          <w:szCs w:val="30"/>
        </w:rPr>
        <w:t xml:space="preserve"> и т.д. </w:t>
      </w:r>
      <w:proofErr w:type="gramStart"/>
      <w:r w:rsidR="00FA0E52">
        <w:rPr>
          <w:rFonts w:ascii="Times New Roman" w:hAnsi="Times New Roman" w:cs="Times New Roman"/>
          <w:sz w:val="30"/>
          <w:szCs w:val="30"/>
        </w:rPr>
        <w:t>По данным на 2016 г.</w:t>
      </w:r>
      <w:r w:rsidR="002510AE">
        <w:rPr>
          <w:rFonts w:ascii="Times New Roman" w:hAnsi="Times New Roman" w:cs="Times New Roman"/>
          <w:sz w:val="30"/>
          <w:szCs w:val="30"/>
        </w:rPr>
        <w:t xml:space="preserve"> </w:t>
      </w:r>
      <w:r w:rsidR="00FA0E52">
        <w:rPr>
          <w:rFonts w:ascii="Times New Roman" w:hAnsi="Times New Roman" w:cs="Times New Roman"/>
          <w:sz w:val="30"/>
          <w:szCs w:val="30"/>
        </w:rPr>
        <w:t>по сравнению с 2014 г.</w:t>
      </w:r>
      <w:r w:rsidR="00AE78CD">
        <w:rPr>
          <w:rFonts w:ascii="Times New Roman" w:hAnsi="Times New Roman" w:cs="Times New Roman"/>
          <w:sz w:val="30"/>
          <w:szCs w:val="30"/>
        </w:rPr>
        <w:t xml:space="preserve"> 6,2</w:t>
      </w:r>
      <w:r>
        <w:rPr>
          <w:rFonts w:ascii="Times New Roman" w:hAnsi="Times New Roman" w:cs="Times New Roman"/>
          <w:sz w:val="30"/>
          <w:szCs w:val="30"/>
        </w:rPr>
        <w:t xml:space="preserve"> % суб</w:t>
      </w:r>
      <w:r>
        <w:rPr>
          <w:rFonts w:ascii="Times New Roman" w:hAnsi="Times New Roman" w:cs="Times New Roman"/>
          <w:sz w:val="30"/>
          <w:szCs w:val="30"/>
        </w:rPr>
        <w:t>ъ</w:t>
      </w:r>
      <w:r>
        <w:rPr>
          <w:rFonts w:ascii="Times New Roman" w:hAnsi="Times New Roman" w:cs="Times New Roman"/>
          <w:sz w:val="30"/>
          <w:szCs w:val="30"/>
        </w:rPr>
        <w:t xml:space="preserve">ектов РФ в этой группе </w:t>
      </w:r>
      <w:r w:rsidR="002510AE">
        <w:rPr>
          <w:rFonts w:ascii="Times New Roman" w:hAnsi="Times New Roman" w:cs="Times New Roman"/>
          <w:sz w:val="30"/>
          <w:szCs w:val="30"/>
        </w:rPr>
        <w:t>повысили свой рейтинг, перейдя в дру</w:t>
      </w:r>
      <w:r w:rsidR="00AE78CD">
        <w:rPr>
          <w:rFonts w:ascii="Times New Roman" w:hAnsi="Times New Roman" w:cs="Times New Roman"/>
          <w:sz w:val="30"/>
          <w:szCs w:val="30"/>
        </w:rPr>
        <w:t>гую</w:t>
      </w:r>
      <w:r w:rsidR="00062946">
        <w:rPr>
          <w:rFonts w:ascii="Times New Roman" w:hAnsi="Times New Roman" w:cs="Times New Roman"/>
          <w:sz w:val="30"/>
          <w:szCs w:val="30"/>
        </w:rPr>
        <w:t xml:space="preserve"> группу</w:t>
      </w:r>
      <w:r w:rsidR="002510AE">
        <w:rPr>
          <w:rFonts w:ascii="Times New Roman" w:hAnsi="Times New Roman" w:cs="Times New Roman"/>
          <w:sz w:val="30"/>
          <w:szCs w:val="30"/>
        </w:rPr>
        <w:t xml:space="preserve">, у </w:t>
      </w:r>
      <w:r w:rsidR="00AE78CD">
        <w:rPr>
          <w:rFonts w:ascii="Times New Roman" w:hAnsi="Times New Roman" w:cs="Times New Roman"/>
          <w:sz w:val="30"/>
          <w:szCs w:val="30"/>
        </w:rPr>
        <w:t>81,3</w:t>
      </w:r>
      <w:r w:rsidR="002510AE">
        <w:rPr>
          <w:rFonts w:ascii="Times New Roman" w:hAnsi="Times New Roman" w:cs="Times New Roman"/>
          <w:sz w:val="30"/>
          <w:szCs w:val="30"/>
        </w:rPr>
        <w:t>% регионов РФ произошел спад темпов роста и как следствие снижение по позициям рейтинг</w:t>
      </w:r>
      <w:r w:rsidR="00AE78CD">
        <w:rPr>
          <w:rFonts w:ascii="Times New Roman" w:hAnsi="Times New Roman" w:cs="Times New Roman"/>
          <w:sz w:val="30"/>
          <w:szCs w:val="30"/>
        </w:rPr>
        <w:t>а в группы с более низким уровнем развития ГЧП, 12,5 % субъектов РФ остались в этой же группе.</w:t>
      </w:r>
      <w:r w:rsidR="000A68BE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2510AE" w:rsidRDefault="00511994" w:rsidP="002621AC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Четвертая группа – р</w:t>
      </w:r>
      <w:r w:rsidR="002510AE" w:rsidRPr="002510AE">
        <w:rPr>
          <w:rFonts w:ascii="Times New Roman" w:hAnsi="Times New Roman" w:cs="Times New Roman"/>
          <w:sz w:val="30"/>
          <w:szCs w:val="30"/>
        </w:rPr>
        <w:t>егионы с низким уровнем развития ГЧП</w:t>
      </w:r>
      <w:r w:rsidR="002621AC">
        <w:rPr>
          <w:rFonts w:ascii="Times New Roman" w:hAnsi="Times New Roman" w:cs="Times New Roman"/>
          <w:sz w:val="30"/>
          <w:szCs w:val="30"/>
        </w:rPr>
        <w:t>, сюда входят</w:t>
      </w:r>
      <w:r>
        <w:rPr>
          <w:rFonts w:ascii="Times New Roman" w:hAnsi="Times New Roman" w:cs="Times New Roman"/>
          <w:sz w:val="30"/>
          <w:szCs w:val="30"/>
        </w:rPr>
        <w:t>:</w:t>
      </w:r>
      <w:r w:rsidR="002621AC">
        <w:rPr>
          <w:rFonts w:ascii="Times New Roman" w:hAnsi="Times New Roman" w:cs="Times New Roman"/>
          <w:sz w:val="30"/>
          <w:szCs w:val="30"/>
        </w:rPr>
        <w:t xml:space="preserve"> Смоленская область, Ивановская область, </w:t>
      </w:r>
      <w:r w:rsidR="002621AC" w:rsidRPr="002621AC">
        <w:rPr>
          <w:rFonts w:ascii="Times New Roman" w:hAnsi="Times New Roman" w:cs="Times New Roman"/>
          <w:sz w:val="30"/>
          <w:szCs w:val="30"/>
        </w:rPr>
        <w:t>Тверская о</w:t>
      </w:r>
      <w:r w:rsidR="002621AC" w:rsidRPr="002621AC">
        <w:rPr>
          <w:rFonts w:ascii="Times New Roman" w:hAnsi="Times New Roman" w:cs="Times New Roman"/>
          <w:sz w:val="30"/>
          <w:szCs w:val="30"/>
        </w:rPr>
        <w:t>б</w:t>
      </w:r>
      <w:r w:rsidR="002621AC">
        <w:rPr>
          <w:rFonts w:ascii="Times New Roman" w:hAnsi="Times New Roman" w:cs="Times New Roman"/>
          <w:sz w:val="30"/>
          <w:szCs w:val="30"/>
        </w:rPr>
        <w:t xml:space="preserve">ласть, </w:t>
      </w:r>
      <w:r w:rsidR="002621AC" w:rsidRPr="002621AC">
        <w:rPr>
          <w:rFonts w:ascii="Times New Roman" w:hAnsi="Times New Roman" w:cs="Times New Roman"/>
          <w:sz w:val="30"/>
          <w:szCs w:val="30"/>
        </w:rPr>
        <w:t>Республика Марий Эл</w:t>
      </w:r>
      <w:r w:rsidR="002621AC">
        <w:rPr>
          <w:rFonts w:ascii="Times New Roman" w:hAnsi="Times New Roman" w:cs="Times New Roman"/>
          <w:sz w:val="30"/>
          <w:szCs w:val="30"/>
        </w:rPr>
        <w:t xml:space="preserve"> и т. д. Сравнивая данные 2016 с 2014 г</w:t>
      </w:r>
      <w:r w:rsidR="002621AC">
        <w:rPr>
          <w:rFonts w:ascii="Times New Roman" w:hAnsi="Times New Roman" w:cs="Times New Roman"/>
          <w:sz w:val="30"/>
          <w:szCs w:val="30"/>
        </w:rPr>
        <w:t>о</w:t>
      </w:r>
      <w:r w:rsidR="002621AC">
        <w:rPr>
          <w:rFonts w:ascii="Times New Roman" w:hAnsi="Times New Roman" w:cs="Times New Roman"/>
          <w:sz w:val="30"/>
          <w:szCs w:val="30"/>
        </w:rPr>
        <w:t xml:space="preserve">дом, наблюдается следующая тенденция: </w:t>
      </w:r>
      <w:r>
        <w:rPr>
          <w:rFonts w:ascii="Times New Roman" w:hAnsi="Times New Roman" w:cs="Times New Roman"/>
          <w:sz w:val="30"/>
          <w:szCs w:val="30"/>
        </w:rPr>
        <w:t>27,3</w:t>
      </w:r>
      <w:r w:rsidR="002621AC">
        <w:rPr>
          <w:rFonts w:ascii="Times New Roman" w:hAnsi="Times New Roman" w:cs="Times New Roman"/>
          <w:sz w:val="30"/>
          <w:szCs w:val="30"/>
        </w:rPr>
        <w:t xml:space="preserve"> % субъектов РФ ост</w:t>
      </w:r>
      <w:r w:rsidR="002621AC">
        <w:rPr>
          <w:rFonts w:ascii="Times New Roman" w:hAnsi="Times New Roman" w:cs="Times New Roman"/>
          <w:sz w:val="30"/>
          <w:szCs w:val="30"/>
        </w:rPr>
        <w:t>а</w:t>
      </w:r>
      <w:r w:rsidR="002621AC">
        <w:rPr>
          <w:rFonts w:ascii="Times New Roman" w:hAnsi="Times New Roman" w:cs="Times New Roman"/>
          <w:sz w:val="30"/>
          <w:szCs w:val="30"/>
        </w:rPr>
        <w:t xml:space="preserve">лись в этой же категории, </w:t>
      </w:r>
      <w:r>
        <w:rPr>
          <w:rFonts w:ascii="Times New Roman" w:hAnsi="Times New Roman" w:cs="Times New Roman"/>
          <w:sz w:val="30"/>
          <w:szCs w:val="30"/>
        </w:rPr>
        <w:t>ни один</w:t>
      </w:r>
      <w:r w:rsidR="002621AC">
        <w:rPr>
          <w:rFonts w:ascii="Times New Roman" w:hAnsi="Times New Roman" w:cs="Times New Roman"/>
          <w:sz w:val="30"/>
          <w:szCs w:val="30"/>
        </w:rPr>
        <w:t xml:space="preserve"> субъ</w:t>
      </w:r>
      <w:r>
        <w:rPr>
          <w:rFonts w:ascii="Times New Roman" w:hAnsi="Times New Roman" w:cs="Times New Roman"/>
          <w:sz w:val="30"/>
          <w:szCs w:val="30"/>
        </w:rPr>
        <w:t>ект</w:t>
      </w:r>
      <w:r w:rsidR="002621AC">
        <w:rPr>
          <w:rFonts w:ascii="Times New Roman" w:hAnsi="Times New Roman" w:cs="Times New Roman"/>
          <w:sz w:val="30"/>
          <w:szCs w:val="30"/>
        </w:rPr>
        <w:t xml:space="preserve"> РФ </w:t>
      </w:r>
      <w:r>
        <w:rPr>
          <w:rFonts w:ascii="Times New Roman" w:hAnsi="Times New Roman" w:cs="Times New Roman"/>
          <w:sz w:val="30"/>
          <w:szCs w:val="30"/>
        </w:rPr>
        <w:t xml:space="preserve">не перешел в группу выше, 72,7 % субъектов РФ перешли в группу </w:t>
      </w:r>
      <w:r w:rsidRPr="00511994">
        <w:rPr>
          <w:rFonts w:ascii="Times New Roman" w:hAnsi="Times New Roman" w:cs="Times New Roman"/>
          <w:sz w:val="30"/>
          <w:szCs w:val="30"/>
        </w:rPr>
        <w:t>с очень низким уро</w:t>
      </w:r>
      <w:r w:rsidRPr="00511994">
        <w:rPr>
          <w:rFonts w:ascii="Times New Roman" w:hAnsi="Times New Roman" w:cs="Times New Roman"/>
          <w:sz w:val="30"/>
          <w:szCs w:val="30"/>
        </w:rPr>
        <w:t>в</w:t>
      </w:r>
      <w:r w:rsidRPr="00511994">
        <w:rPr>
          <w:rFonts w:ascii="Times New Roman" w:hAnsi="Times New Roman" w:cs="Times New Roman"/>
          <w:sz w:val="30"/>
          <w:szCs w:val="30"/>
        </w:rPr>
        <w:t>нем развития ГЧП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511994" w:rsidRDefault="00511994" w:rsidP="00511994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Пятая группа – регионы </w:t>
      </w:r>
      <w:r w:rsidRPr="00511994">
        <w:rPr>
          <w:rFonts w:ascii="Times New Roman" w:hAnsi="Times New Roman" w:cs="Times New Roman"/>
          <w:sz w:val="30"/>
          <w:szCs w:val="30"/>
        </w:rPr>
        <w:t>с очень низким уровнем развития ГЧП</w:t>
      </w:r>
      <w:r>
        <w:rPr>
          <w:rFonts w:ascii="Times New Roman" w:hAnsi="Times New Roman" w:cs="Times New Roman"/>
          <w:sz w:val="30"/>
          <w:szCs w:val="30"/>
        </w:rPr>
        <w:t>, сюда входят:</w:t>
      </w:r>
      <w:r w:rsidRPr="00511994"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Республика Ингушетия, Ульяновская область, </w:t>
      </w:r>
      <w:r w:rsidRPr="00511994">
        <w:rPr>
          <w:rFonts w:ascii="Times New Roman" w:hAnsi="Times New Roman" w:cs="Times New Roman"/>
          <w:sz w:val="30"/>
          <w:szCs w:val="30"/>
        </w:rPr>
        <w:t>Тюме</w:t>
      </w:r>
      <w:r w:rsidRPr="00511994">
        <w:rPr>
          <w:rFonts w:ascii="Times New Roman" w:hAnsi="Times New Roman" w:cs="Times New Roman"/>
          <w:sz w:val="30"/>
          <w:szCs w:val="30"/>
        </w:rPr>
        <w:t>н</w:t>
      </w:r>
      <w:r w:rsidRPr="00511994">
        <w:rPr>
          <w:rFonts w:ascii="Times New Roman" w:hAnsi="Times New Roman" w:cs="Times New Roman"/>
          <w:sz w:val="30"/>
          <w:szCs w:val="30"/>
        </w:rPr>
        <w:t>ская область</w:t>
      </w:r>
      <w:r>
        <w:rPr>
          <w:rFonts w:ascii="Times New Roman" w:hAnsi="Times New Roman" w:cs="Times New Roman"/>
          <w:sz w:val="30"/>
          <w:szCs w:val="30"/>
        </w:rPr>
        <w:t xml:space="preserve">, Республика Хакасия, </w:t>
      </w:r>
      <w:r w:rsidRPr="00511994">
        <w:rPr>
          <w:rFonts w:ascii="Times New Roman" w:hAnsi="Times New Roman" w:cs="Times New Roman"/>
          <w:sz w:val="30"/>
          <w:szCs w:val="30"/>
        </w:rPr>
        <w:t>Республика Крым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1199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Сравнивая да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ные 2016 с 2014 годом, наблюдается следующая тенденция: 28 % субъектов РФ перешли в группу с более высоким уровнем развития ГЧП, </w:t>
      </w:r>
      <w:r w:rsidR="00AE78CD">
        <w:rPr>
          <w:rFonts w:ascii="Times New Roman" w:hAnsi="Times New Roman" w:cs="Times New Roman"/>
          <w:sz w:val="30"/>
          <w:szCs w:val="30"/>
        </w:rPr>
        <w:t>72 % субъектов РФ остались в этой же группе</w:t>
      </w:r>
      <w:r w:rsidR="000A68BE">
        <w:rPr>
          <w:rFonts w:ascii="Times New Roman" w:hAnsi="Times New Roman" w:cs="Times New Roman"/>
          <w:sz w:val="30"/>
          <w:szCs w:val="30"/>
        </w:rPr>
        <w:t>.</w:t>
      </w:r>
    </w:p>
    <w:p w:rsidR="00DF6B1D" w:rsidRDefault="00FA0E52" w:rsidP="00511994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Подводя итоги исследования</w:t>
      </w:r>
      <w:r w:rsidR="008A2644">
        <w:rPr>
          <w:rFonts w:ascii="Times New Roman" w:hAnsi="Times New Roman" w:cs="Times New Roman"/>
          <w:sz w:val="30"/>
          <w:szCs w:val="30"/>
        </w:rPr>
        <w:t xml:space="preserve"> уровня </w:t>
      </w:r>
      <w:r w:rsidR="00E318BB" w:rsidRPr="006D0D5B">
        <w:rPr>
          <w:rFonts w:ascii="Times New Roman" w:hAnsi="Times New Roman" w:cs="Times New Roman"/>
          <w:sz w:val="30"/>
          <w:szCs w:val="30"/>
        </w:rPr>
        <w:t>развития ГЧП в регионах РФ за 2014-2016 годы</w:t>
      </w:r>
      <w:r>
        <w:rPr>
          <w:rFonts w:ascii="Times New Roman" w:hAnsi="Times New Roman" w:cs="Times New Roman"/>
          <w:sz w:val="30"/>
          <w:szCs w:val="30"/>
        </w:rPr>
        <w:t xml:space="preserve">, необходимо </w:t>
      </w:r>
      <w:r w:rsidR="008A2644">
        <w:rPr>
          <w:rFonts w:ascii="Times New Roman" w:hAnsi="Times New Roman" w:cs="Times New Roman"/>
          <w:sz w:val="30"/>
          <w:szCs w:val="30"/>
        </w:rPr>
        <w:t>отметить</w:t>
      </w:r>
      <w:r w:rsidR="00DF6B1D">
        <w:rPr>
          <w:rFonts w:ascii="Times New Roman" w:hAnsi="Times New Roman" w:cs="Times New Roman"/>
          <w:sz w:val="30"/>
          <w:szCs w:val="30"/>
        </w:rPr>
        <w:t>, что данная форма пар</w:t>
      </w:r>
      <w:r w:rsidR="00DF6B1D">
        <w:rPr>
          <w:rFonts w:ascii="Times New Roman" w:hAnsi="Times New Roman" w:cs="Times New Roman"/>
          <w:sz w:val="30"/>
          <w:szCs w:val="30"/>
        </w:rPr>
        <w:t>т</w:t>
      </w:r>
      <w:r w:rsidR="00DF6B1D">
        <w:rPr>
          <w:rFonts w:ascii="Times New Roman" w:hAnsi="Times New Roman" w:cs="Times New Roman"/>
          <w:sz w:val="30"/>
          <w:szCs w:val="30"/>
        </w:rPr>
        <w:t xml:space="preserve">нерства </w:t>
      </w:r>
      <w:r w:rsidR="008A2644">
        <w:rPr>
          <w:rFonts w:ascii="Times New Roman" w:hAnsi="Times New Roman" w:cs="Times New Roman"/>
          <w:sz w:val="30"/>
          <w:szCs w:val="30"/>
        </w:rPr>
        <w:t xml:space="preserve">в последние годы характеризуется </w:t>
      </w:r>
      <w:r w:rsidR="00DF6B1D">
        <w:rPr>
          <w:rFonts w:ascii="Times New Roman" w:hAnsi="Times New Roman" w:cs="Times New Roman"/>
          <w:sz w:val="30"/>
          <w:szCs w:val="30"/>
        </w:rPr>
        <w:t>отрицатель</w:t>
      </w:r>
      <w:r w:rsidR="008A2644">
        <w:rPr>
          <w:rFonts w:ascii="Times New Roman" w:hAnsi="Times New Roman" w:cs="Times New Roman"/>
          <w:sz w:val="30"/>
          <w:szCs w:val="30"/>
        </w:rPr>
        <w:t>ной</w:t>
      </w:r>
      <w:r w:rsidR="00DF6B1D">
        <w:rPr>
          <w:rFonts w:ascii="Times New Roman" w:hAnsi="Times New Roman" w:cs="Times New Roman"/>
          <w:sz w:val="30"/>
          <w:szCs w:val="30"/>
        </w:rPr>
        <w:t xml:space="preserve"> динами</w:t>
      </w:r>
      <w:r w:rsidR="008A2644">
        <w:rPr>
          <w:rFonts w:ascii="Times New Roman" w:hAnsi="Times New Roman" w:cs="Times New Roman"/>
          <w:sz w:val="30"/>
          <w:szCs w:val="30"/>
        </w:rPr>
        <w:t xml:space="preserve">кой. Выявлены </w:t>
      </w:r>
      <w:r w:rsidR="00DF6B1D">
        <w:rPr>
          <w:rFonts w:ascii="Times New Roman" w:hAnsi="Times New Roman" w:cs="Times New Roman"/>
          <w:sz w:val="30"/>
          <w:szCs w:val="30"/>
        </w:rPr>
        <w:t>субъекты, которые показывают положительную динамику, но их ко</w:t>
      </w:r>
      <w:r w:rsidR="008A2644">
        <w:rPr>
          <w:rFonts w:ascii="Times New Roman" w:hAnsi="Times New Roman" w:cs="Times New Roman"/>
          <w:sz w:val="30"/>
          <w:szCs w:val="30"/>
        </w:rPr>
        <w:t xml:space="preserve">личество значительно </w:t>
      </w:r>
      <w:r w:rsidR="00DF6B1D">
        <w:rPr>
          <w:rFonts w:ascii="Times New Roman" w:hAnsi="Times New Roman" w:cs="Times New Roman"/>
          <w:sz w:val="30"/>
          <w:szCs w:val="30"/>
        </w:rPr>
        <w:t>меньше и составляет скорее исключ</w:t>
      </w:r>
      <w:r w:rsidR="00DF6B1D">
        <w:rPr>
          <w:rFonts w:ascii="Times New Roman" w:hAnsi="Times New Roman" w:cs="Times New Roman"/>
          <w:sz w:val="30"/>
          <w:szCs w:val="30"/>
        </w:rPr>
        <w:t>е</w:t>
      </w:r>
      <w:r w:rsidR="00DF6B1D">
        <w:rPr>
          <w:rFonts w:ascii="Times New Roman" w:hAnsi="Times New Roman" w:cs="Times New Roman"/>
          <w:sz w:val="30"/>
          <w:szCs w:val="30"/>
        </w:rPr>
        <w:t xml:space="preserve">ние, чем правило. </w:t>
      </w:r>
    </w:p>
    <w:p w:rsidR="00420445" w:rsidRDefault="00DF6B1D" w:rsidP="00511994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ГЧП в сфере гостеприимства одно из самых распространенных направлений, поскольку оно выгодно дл</w:t>
      </w:r>
      <w:r w:rsidR="00641374">
        <w:rPr>
          <w:rFonts w:ascii="Times New Roman" w:hAnsi="Times New Roman" w:cs="Times New Roman"/>
          <w:sz w:val="30"/>
          <w:szCs w:val="30"/>
        </w:rPr>
        <w:t>я обоих сторон-партнеров. Учитывая существующие тенденции</w:t>
      </w:r>
      <w:r>
        <w:rPr>
          <w:rFonts w:ascii="Times New Roman" w:hAnsi="Times New Roman" w:cs="Times New Roman"/>
          <w:sz w:val="30"/>
          <w:szCs w:val="30"/>
        </w:rPr>
        <w:t xml:space="preserve">, можно выделить следующие </w:t>
      </w:r>
      <w:r>
        <w:rPr>
          <w:rFonts w:ascii="Times New Roman" w:hAnsi="Times New Roman" w:cs="Times New Roman"/>
          <w:sz w:val="30"/>
          <w:szCs w:val="30"/>
        </w:rPr>
        <w:lastRenderedPageBreak/>
        <w:t>геополитические факторы, которые оказывают влияние на ГЧП в сфере гостеприимства:</w:t>
      </w:r>
    </w:p>
    <w:p w:rsidR="00DF6B1D" w:rsidRDefault="00DF6B1D" w:rsidP="002A3E62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глобальный экономический кризис</w:t>
      </w:r>
      <w:r w:rsidR="0087756B">
        <w:rPr>
          <w:sz w:val="30"/>
          <w:szCs w:val="30"/>
        </w:rPr>
        <w:t>;</w:t>
      </w:r>
    </w:p>
    <w:p w:rsidR="00DF6B1D" w:rsidRDefault="00DF6B1D" w:rsidP="002A3E62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отток </w:t>
      </w:r>
      <w:r w:rsidRPr="00DF6B1D">
        <w:rPr>
          <w:sz w:val="30"/>
          <w:szCs w:val="30"/>
        </w:rPr>
        <w:t>капитала из отрасли</w:t>
      </w:r>
      <w:r>
        <w:rPr>
          <w:sz w:val="30"/>
          <w:szCs w:val="30"/>
        </w:rPr>
        <w:t xml:space="preserve"> гостеприимства</w:t>
      </w:r>
      <w:r w:rsidR="005A534B">
        <w:rPr>
          <w:sz w:val="30"/>
          <w:szCs w:val="30"/>
        </w:rPr>
        <w:t>;</w:t>
      </w:r>
    </w:p>
    <w:p w:rsidR="00DF6B1D" w:rsidRDefault="00DF6B1D" w:rsidP="002A3E62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уменьшение</w:t>
      </w:r>
      <w:r w:rsidRPr="00DF6B1D">
        <w:rPr>
          <w:sz w:val="30"/>
          <w:szCs w:val="30"/>
        </w:rPr>
        <w:t xml:space="preserve"> количества иностранных туристов</w:t>
      </w:r>
      <w:r w:rsidR="005A534B">
        <w:rPr>
          <w:sz w:val="30"/>
          <w:szCs w:val="30"/>
        </w:rPr>
        <w:t>;</w:t>
      </w:r>
    </w:p>
    <w:p w:rsidR="00DF6B1D" w:rsidRDefault="00DF6B1D" w:rsidP="002A3E62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DF6B1D">
        <w:rPr>
          <w:sz w:val="30"/>
          <w:szCs w:val="30"/>
        </w:rPr>
        <w:t>отсутстви</w:t>
      </w:r>
      <w:r>
        <w:rPr>
          <w:sz w:val="30"/>
          <w:szCs w:val="30"/>
        </w:rPr>
        <w:t>е</w:t>
      </w:r>
      <w:r w:rsidRPr="00DF6B1D">
        <w:rPr>
          <w:sz w:val="30"/>
          <w:szCs w:val="30"/>
        </w:rPr>
        <w:t xml:space="preserve"> доступного финансирования из-за ограничений доступа к западным</w:t>
      </w:r>
      <w:r>
        <w:rPr>
          <w:sz w:val="30"/>
          <w:szCs w:val="30"/>
        </w:rPr>
        <w:t xml:space="preserve"> </w:t>
      </w:r>
      <w:r w:rsidRPr="00DF6B1D">
        <w:rPr>
          <w:sz w:val="30"/>
          <w:szCs w:val="30"/>
        </w:rPr>
        <w:t>кредитам</w:t>
      </w:r>
      <w:r w:rsidR="005A534B">
        <w:rPr>
          <w:sz w:val="30"/>
          <w:szCs w:val="30"/>
        </w:rPr>
        <w:t>;</w:t>
      </w:r>
    </w:p>
    <w:p w:rsidR="00DF6B1D" w:rsidRPr="00DF6B1D" w:rsidRDefault="0087756B" w:rsidP="002A3E62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э</w:t>
      </w:r>
      <w:r w:rsidR="00DF6B1D">
        <w:rPr>
          <w:sz w:val="30"/>
          <w:szCs w:val="30"/>
        </w:rPr>
        <w:t>кономические санкции в отношении России и т.д.</w:t>
      </w:r>
    </w:p>
    <w:p w:rsidR="005C76DC" w:rsidRDefault="002A3E62" w:rsidP="002A3E62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снижения влияния геополитической ситуации на отрасль гостеприимства предлагается </w:t>
      </w:r>
      <w:r w:rsidR="0087756B">
        <w:rPr>
          <w:rFonts w:ascii="Times New Roman" w:hAnsi="Times New Roman" w:cs="Times New Roman"/>
          <w:sz w:val="30"/>
          <w:szCs w:val="30"/>
        </w:rPr>
        <w:t>активизировать использование</w:t>
      </w:r>
      <w:r>
        <w:rPr>
          <w:rFonts w:ascii="Times New Roman" w:hAnsi="Times New Roman" w:cs="Times New Roman"/>
          <w:sz w:val="30"/>
          <w:szCs w:val="30"/>
        </w:rPr>
        <w:t xml:space="preserve"> следу</w:t>
      </w:r>
      <w:r>
        <w:rPr>
          <w:rFonts w:ascii="Times New Roman" w:hAnsi="Times New Roman" w:cs="Times New Roman"/>
          <w:sz w:val="30"/>
          <w:szCs w:val="30"/>
        </w:rPr>
        <w:t>ю</w:t>
      </w:r>
      <w:r w:rsidR="00641374">
        <w:rPr>
          <w:rFonts w:ascii="Times New Roman" w:hAnsi="Times New Roman" w:cs="Times New Roman"/>
          <w:sz w:val="30"/>
          <w:szCs w:val="30"/>
        </w:rPr>
        <w:t>щих инструментов</w:t>
      </w:r>
      <w:r>
        <w:rPr>
          <w:rFonts w:ascii="Times New Roman" w:hAnsi="Times New Roman" w:cs="Times New Roman"/>
          <w:sz w:val="30"/>
          <w:szCs w:val="30"/>
        </w:rPr>
        <w:t xml:space="preserve"> ГЧП:</w:t>
      </w:r>
    </w:p>
    <w:p w:rsidR="005A534B" w:rsidRPr="005A534B" w:rsidRDefault="005A534B" w:rsidP="00BF4381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Практика инвестирования</w:t>
      </w:r>
      <w:r w:rsidRPr="005A534B">
        <w:rPr>
          <w:sz w:val="30"/>
          <w:szCs w:val="30"/>
        </w:rPr>
        <w:t xml:space="preserve"> в уставные </w:t>
      </w:r>
      <w:r w:rsidR="00BF4381">
        <w:rPr>
          <w:sz w:val="30"/>
          <w:szCs w:val="30"/>
        </w:rPr>
        <w:t>капиталы</w:t>
      </w:r>
      <w:r w:rsidRPr="005A534B">
        <w:rPr>
          <w:sz w:val="30"/>
          <w:szCs w:val="30"/>
        </w:rPr>
        <w:t>;</w:t>
      </w:r>
    </w:p>
    <w:p w:rsidR="005A534B" w:rsidRPr="005A534B" w:rsidRDefault="00BF4381" w:rsidP="00BF4381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Создание и расширение государственных корпораций</w:t>
      </w:r>
      <w:r w:rsidR="005A534B" w:rsidRPr="005A534B">
        <w:rPr>
          <w:sz w:val="30"/>
          <w:szCs w:val="30"/>
        </w:rPr>
        <w:t>;</w:t>
      </w:r>
    </w:p>
    <w:p w:rsidR="005A534B" w:rsidRPr="005A534B" w:rsidRDefault="00BF4381" w:rsidP="00BF4381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Увеличение потока инвестирования</w:t>
      </w:r>
      <w:r w:rsidR="005A534B" w:rsidRPr="005A534B">
        <w:rPr>
          <w:sz w:val="30"/>
          <w:szCs w:val="30"/>
        </w:rPr>
        <w:t xml:space="preserve"> в венчурные инвест</w:t>
      </w:r>
      <w:r w:rsidR="005A534B" w:rsidRPr="005A534B">
        <w:rPr>
          <w:sz w:val="30"/>
          <w:szCs w:val="30"/>
        </w:rPr>
        <w:t>и</w:t>
      </w:r>
      <w:r w:rsidR="005A534B" w:rsidRPr="005A534B">
        <w:rPr>
          <w:sz w:val="30"/>
          <w:szCs w:val="30"/>
        </w:rPr>
        <w:t>ционные фонды;</w:t>
      </w:r>
    </w:p>
    <w:p w:rsidR="00BF4381" w:rsidRDefault="00BF4381" w:rsidP="00BF4381">
      <w:pPr>
        <w:pStyle w:val="a3"/>
        <w:numPr>
          <w:ilvl w:val="0"/>
          <w:numId w:val="6"/>
        </w:numPr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5A534B" w:rsidRPr="005A534B">
        <w:rPr>
          <w:sz w:val="30"/>
          <w:szCs w:val="30"/>
        </w:rPr>
        <w:t>аключение и исполнение договоров (соглашений)</w:t>
      </w:r>
      <w:r>
        <w:rPr>
          <w:sz w:val="30"/>
          <w:szCs w:val="30"/>
        </w:rPr>
        <w:t xml:space="preserve"> в о</w:t>
      </w:r>
      <w:r>
        <w:rPr>
          <w:sz w:val="30"/>
          <w:szCs w:val="30"/>
        </w:rPr>
        <w:t>т</w:t>
      </w:r>
      <w:r>
        <w:rPr>
          <w:sz w:val="30"/>
          <w:szCs w:val="30"/>
        </w:rPr>
        <w:t>расли гостеприимства</w:t>
      </w:r>
      <w:r w:rsidR="005A534B" w:rsidRPr="005A534B">
        <w:rPr>
          <w:sz w:val="30"/>
          <w:szCs w:val="30"/>
        </w:rPr>
        <w:t>.</w:t>
      </w:r>
    </w:p>
    <w:p w:rsidR="008165F8" w:rsidRDefault="008165F8" w:rsidP="00BF4381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Практика инвестирования уставного капитала на сегодняшний день имеет две формы</w:t>
      </w:r>
      <w:r w:rsidR="0038169E">
        <w:rPr>
          <w:sz w:val="30"/>
          <w:szCs w:val="30"/>
        </w:rPr>
        <w:t>:</w:t>
      </w:r>
    </w:p>
    <w:p w:rsidR="008165F8" w:rsidRDefault="008165F8" w:rsidP="008165F8">
      <w:pPr>
        <w:pStyle w:val="a3"/>
        <w:numPr>
          <w:ilvl w:val="0"/>
          <w:numId w:val="7"/>
        </w:numPr>
        <w:spacing w:line="30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30"/>
          <w:szCs w:val="30"/>
        </w:rPr>
        <w:t xml:space="preserve"> Н</w:t>
      </w:r>
      <w:r w:rsidR="0038169E">
        <w:rPr>
          <w:sz w:val="30"/>
          <w:szCs w:val="30"/>
        </w:rPr>
        <w:t>епосредственные первоначальные инвестиции, которые</w:t>
      </w:r>
      <w:r w:rsidR="0038169E" w:rsidRPr="0038169E">
        <w:rPr>
          <w:color w:val="000000"/>
          <w:sz w:val="28"/>
          <w:szCs w:val="28"/>
        </w:rPr>
        <w:t xml:space="preserve"> </w:t>
      </w:r>
      <w:r w:rsidR="0038169E">
        <w:rPr>
          <w:color w:val="000000"/>
          <w:sz w:val="28"/>
          <w:szCs w:val="28"/>
        </w:rPr>
        <w:t xml:space="preserve">формируют </w:t>
      </w:r>
      <w:r>
        <w:rPr>
          <w:color w:val="000000"/>
          <w:sz w:val="28"/>
          <w:szCs w:val="28"/>
        </w:rPr>
        <w:t>уставной капитал</w:t>
      </w:r>
      <w:r w:rsidR="0038169E">
        <w:rPr>
          <w:color w:val="000000"/>
          <w:sz w:val="28"/>
          <w:szCs w:val="28"/>
        </w:rPr>
        <w:t xml:space="preserve"> путем передачи денежных средств или иного имущества в качестве вклада;</w:t>
      </w:r>
    </w:p>
    <w:p w:rsidR="008165F8" w:rsidRDefault="008165F8" w:rsidP="008165F8">
      <w:pPr>
        <w:pStyle w:val="a3"/>
        <w:numPr>
          <w:ilvl w:val="0"/>
          <w:numId w:val="7"/>
        </w:numPr>
        <w:spacing w:line="30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Д</w:t>
      </w:r>
      <w:r w:rsidR="0038169E">
        <w:rPr>
          <w:color w:val="000000"/>
          <w:sz w:val="28"/>
          <w:szCs w:val="28"/>
        </w:rPr>
        <w:t>ополнительные инвестиционные вложения, возникающие по ходу текущей финансово-хозяйственной деятельности организации.</w:t>
      </w:r>
      <w:r w:rsidR="000D3C2C">
        <w:rPr>
          <w:color w:val="000000"/>
          <w:sz w:val="28"/>
          <w:szCs w:val="28"/>
        </w:rPr>
        <w:t xml:space="preserve"> </w:t>
      </w:r>
    </w:p>
    <w:p w:rsidR="00BF4381" w:rsidRDefault="000D3C2C" w:rsidP="008165F8">
      <w:pPr>
        <w:pStyle w:val="a3"/>
        <w:spacing w:line="30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Сущность обеих форм крайне интересна, они имеют свою нормати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ную базу и</w:t>
      </w:r>
      <w:r w:rsidR="008165F8">
        <w:rPr>
          <w:color w:val="000000"/>
          <w:sz w:val="28"/>
          <w:szCs w:val="28"/>
        </w:rPr>
        <w:t xml:space="preserve"> широкое  практическое</w:t>
      </w:r>
      <w:r>
        <w:rPr>
          <w:color w:val="000000"/>
          <w:sz w:val="28"/>
          <w:szCs w:val="28"/>
        </w:rPr>
        <w:t xml:space="preserve"> применение в России.</w:t>
      </w:r>
    </w:p>
    <w:p w:rsidR="00B95BB1" w:rsidRPr="00B95BB1" w:rsidRDefault="00B95BB1" w:rsidP="00B95BB1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Следующий инструмент – с</w:t>
      </w:r>
      <w:r w:rsidRPr="00B95BB1">
        <w:rPr>
          <w:sz w:val="30"/>
          <w:szCs w:val="30"/>
        </w:rPr>
        <w:t>оздание</w:t>
      </w:r>
      <w:r>
        <w:rPr>
          <w:sz w:val="30"/>
          <w:szCs w:val="30"/>
        </w:rPr>
        <w:t xml:space="preserve"> государственных</w:t>
      </w:r>
      <w:r w:rsidRPr="00B95BB1">
        <w:rPr>
          <w:sz w:val="30"/>
          <w:szCs w:val="30"/>
        </w:rPr>
        <w:t xml:space="preserve"> корпор</w:t>
      </w:r>
      <w:r w:rsidRPr="00B95BB1">
        <w:rPr>
          <w:sz w:val="30"/>
          <w:szCs w:val="30"/>
        </w:rPr>
        <w:t>а</w:t>
      </w:r>
      <w:r w:rsidRPr="00B95BB1">
        <w:rPr>
          <w:sz w:val="30"/>
          <w:szCs w:val="30"/>
        </w:rPr>
        <w:t>ций со смешанным капиталом</w:t>
      </w:r>
      <w:r>
        <w:rPr>
          <w:sz w:val="30"/>
          <w:szCs w:val="30"/>
        </w:rPr>
        <w:t xml:space="preserve">, такая форма партнерства </w:t>
      </w:r>
      <w:r w:rsidR="008165F8">
        <w:rPr>
          <w:sz w:val="30"/>
          <w:szCs w:val="30"/>
        </w:rPr>
        <w:t>применяется</w:t>
      </w:r>
      <w:r>
        <w:rPr>
          <w:sz w:val="30"/>
          <w:szCs w:val="30"/>
        </w:rPr>
        <w:t xml:space="preserve"> </w:t>
      </w:r>
      <w:r w:rsidRPr="00B95BB1">
        <w:rPr>
          <w:sz w:val="30"/>
          <w:szCs w:val="30"/>
        </w:rPr>
        <w:t>для развития приоритетных отраслей экономики.</w:t>
      </w:r>
      <w:r>
        <w:rPr>
          <w:sz w:val="30"/>
          <w:szCs w:val="30"/>
        </w:rPr>
        <w:t xml:space="preserve"> </w:t>
      </w:r>
      <w:r w:rsidRPr="00B95BB1">
        <w:rPr>
          <w:sz w:val="30"/>
          <w:szCs w:val="30"/>
        </w:rPr>
        <w:t>Одним из таких примеров является Объединенная авиастроительная корпорация (с</w:t>
      </w:r>
      <w:r w:rsidRPr="00B95BB1">
        <w:rPr>
          <w:sz w:val="30"/>
          <w:szCs w:val="30"/>
        </w:rPr>
        <w:t>о</w:t>
      </w:r>
      <w:r w:rsidRPr="00B95BB1">
        <w:rPr>
          <w:sz w:val="30"/>
          <w:szCs w:val="30"/>
        </w:rPr>
        <w:t xml:space="preserve">здана </w:t>
      </w:r>
      <w:r w:rsidRPr="001C280A">
        <w:rPr>
          <w:sz w:val="30"/>
          <w:szCs w:val="30"/>
        </w:rPr>
        <w:t xml:space="preserve">Указом Президента РФ </w:t>
      </w:r>
      <w:r w:rsidR="001C280A" w:rsidRPr="001C280A">
        <w:rPr>
          <w:sz w:val="30"/>
          <w:szCs w:val="30"/>
        </w:rPr>
        <w:t xml:space="preserve">об открытом акционерном обществе «Объединенная авиастроительная корпорация» </w:t>
      </w:r>
      <w:r w:rsidRPr="001C280A">
        <w:rPr>
          <w:sz w:val="30"/>
          <w:szCs w:val="30"/>
        </w:rPr>
        <w:t>от 20.02.06 № 140</w:t>
      </w:r>
      <w:r w:rsidR="001C280A">
        <w:t xml:space="preserve">), </w:t>
      </w:r>
      <w:r w:rsidRPr="00B95BB1">
        <w:rPr>
          <w:sz w:val="30"/>
          <w:szCs w:val="30"/>
        </w:rPr>
        <w:t>в этом случае ряд крупных компаний заявил о своем участии в проекте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еще до объединения государственных активов. Также примером </w:t>
      </w:r>
      <w:r w:rsidRPr="00B95BB1">
        <w:rPr>
          <w:sz w:val="30"/>
          <w:szCs w:val="30"/>
        </w:rPr>
        <w:t>явл</w:t>
      </w:r>
      <w:r w:rsidRPr="00B95BB1">
        <w:rPr>
          <w:sz w:val="30"/>
          <w:szCs w:val="30"/>
        </w:rPr>
        <w:t>я</w:t>
      </w:r>
      <w:r w:rsidRPr="00B95BB1">
        <w:rPr>
          <w:sz w:val="30"/>
          <w:szCs w:val="30"/>
        </w:rPr>
        <w:t xml:space="preserve">ется </w:t>
      </w:r>
      <w:r w:rsidR="000D3C2C">
        <w:rPr>
          <w:sz w:val="30"/>
          <w:szCs w:val="30"/>
        </w:rPr>
        <w:t>ОАО «</w:t>
      </w:r>
      <w:proofErr w:type="spellStart"/>
      <w:r w:rsidR="000D3C2C">
        <w:rPr>
          <w:sz w:val="30"/>
          <w:szCs w:val="30"/>
        </w:rPr>
        <w:t>ЭйрЮнион</w:t>
      </w:r>
      <w:proofErr w:type="spellEnd"/>
      <w:r w:rsidR="000D3C2C">
        <w:rPr>
          <w:sz w:val="30"/>
          <w:szCs w:val="30"/>
        </w:rPr>
        <w:t xml:space="preserve">», которая была создана </w:t>
      </w:r>
      <w:r w:rsidRPr="00B95BB1">
        <w:rPr>
          <w:sz w:val="30"/>
          <w:szCs w:val="30"/>
        </w:rPr>
        <w:t>в целях совершенств</w:t>
      </w:r>
      <w:r w:rsidRPr="00B95BB1">
        <w:rPr>
          <w:sz w:val="30"/>
          <w:szCs w:val="30"/>
        </w:rPr>
        <w:t>о</w:t>
      </w:r>
      <w:r w:rsidRPr="00B95BB1">
        <w:rPr>
          <w:sz w:val="30"/>
          <w:szCs w:val="30"/>
        </w:rPr>
        <w:t>вания авиационных перевозок и повышения эффективности деятел</w:t>
      </w:r>
      <w:r w:rsidRPr="00B95BB1">
        <w:rPr>
          <w:sz w:val="30"/>
          <w:szCs w:val="30"/>
        </w:rPr>
        <w:t>ь</w:t>
      </w:r>
      <w:r w:rsidRPr="00B95BB1">
        <w:rPr>
          <w:sz w:val="30"/>
          <w:szCs w:val="30"/>
        </w:rPr>
        <w:t>ности российских авиакомпаний (</w:t>
      </w:r>
      <w:r w:rsidRPr="001C280A">
        <w:rPr>
          <w:sz w:val="30"/>
          <w:szCs w:val="30"/>
        </w:rPr>
        <w:t>со</w:t>
      </w:r>
      <w:r w:rsidR="000D3C2C" w:rsidRPr="001C280A">
        <w:rPr>
          <w:sz w:val="30"/>
          <w:szCs w:val="30"/>
        </w:rPr>
        <w:t>гласно Указу</w:t>
      </w:r>
      <w:r w:rsidRPr="001C280A">
        <w:rPr>
          <w:sz w:val="30"/>
          <w:szCs w:val="30"/>
        </w:rPr>
        <w:t xml:space="preserve"> Президента РФ</w:t>
      </w:r>
      <w:proofErr w:type="gramStart"/>
      <w:r w:rsidRPr="001C280A">
        <w:rPr>
          <w:sz w:val="30"/>
          <w:szCs w:val="30"/>
        </w:rPr>
        <w:t xml:space="preserve"> </w:t>
      </w:r>
      <w:r w:rsidR="001C280A" w:rsidRPr="001C280A">
        <w:rPr>
          <w:sz w:val="30"/>
          <w:szCs w:val="30"/>
        </w:rPr>
        <w:t>О</w:t>
      </w:r>
      <w:proofErr w:type="gramEnd"/>
      <w:r w:rsidR="001C280A" w:rsidRPr="001C280A">
        <w:rPr>
          <w:sz w:val="30"/>
          <w:szCs w:val="30"/>
        </w:rPr>
        <w:t>б открытом акционерном обществе "</w:t>
      </w:r>
      <w:proofErr w:type="spellStart"/>
      <w:r w:rsidR="001C280A" w:rsidRPr="001C280A">
        <w:rPr>
          <w:sz w:val="30"/>
          <w:szCs w:val="30"/>
        </w:rPr>
        <w:t>ЭйрЮнион</w:t>
      </w:r>
      <w:proofErr w:type="spellEnd"/>
      <w:r w:rsidR="001C280A" w:rsidRPr="001C280A">
        <w:rPr>
          <w:sz w:val="30"/>
          <w:szCs w:val="30"/>
        </w:rPr>
        <w:t xml:space="preserve">" </w:t>
      </w:r>
      <w:r w:rsidRPr="001C280A">
        <w:rPr>
          <w:sz w:val="30"/>
          <w:szCs w:val="30"/>
        </w:rPr>
        <w:t>от 28.04.07 № 570</w:t>
      </w:r>
      <w:r w:rsidRPr="00B95BB1">
        <w:rPr>
          <w:sz w:val="30"/>
          <w:szCs w:val="30"/>
        </w:rPr>
        <w:t>).</w:t>
      </w:r>
    </w:p>
    <w:p w:rsidR="004373D3" w:rsidRPr="004373D3" w:rsidRDefault="00B6532E" w:rsidP="004373D3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последнее время </w:t>
      </w:r>
      <w:r w:rsidR="00B95BB1" w:rsidRPr="00B95BB1">
        <w:rPr>
          <w:sz w:val="30"/>
          <w:szCs w:val="30"/>
        </w:rPr>
        <w:t xml:space="preserve">необходимым становится </w:t>
      </w:r>
      <w:r>
        <w:rPr>
          <w:sz w:val="30"/>
          <w:szCs w:val="30"/>
        </w:rPr>
        <w:t>увеличение потока инвестирования</w:t>
      </w:r>
      <w:r w:rsidRPr="005A534B">
        <w:rPr>
          <w:sz w:val="30"/>
          <w:szCs w:val="30"/>
        </w:rPr>
        <w:t xml:space="preserve"> в венчурные инвестиционные фонды</w:t>
      </w:r>
      <w:r w:rsidR="00B95BB1" w:rsidRPr="00B95BB1">
        <w:rPr>
          <w:sz w:val="30"/>
          <w:szCs w:val="30"/>
        </w:rPr>
        <w:t xml:space="preserve"> для </w:t>
      </w:r>
      <w:r>
        <w:rPr>
          <w:sz w:val="30"/>
          <w:szCs w:val="30"/>
        </w:rPr>
        <w:t>вливания сре</w:t>
      </w:r>
      <w:proofErr w:type="gramStart"/>
      <w:r>
        <w:rPr>
          <w:sz w:val="30"/>
          <w:szCs w:val="30"/>
        </w:rPr>
        <w:t>дств</w:t>
      </w:r>
      <w:r w:rsidR="00B95BB1" w:rsidRPr="00B95BB1">
        <w:rPr>
          <w:sz w:val="30"/>
          <w:szCs w:val="30"/>
        </w:rPr>
        <w:t xml:space="preserve"> в в</w:t>
      </w:r>
      <w:proofErr w:type="gramEnd"/>
      <w:r w:rsidR="00B95BB1" w:rsidRPr="00B95BB1">
        <w:rPr>
          <w:sz w:val="30"/>
          <w:szCs w:val="30"/>
        </w:rPr>
        <w:t>ысокотехноло</w:t>
      </w:r>
      <w:r>
        <w:rPr>
          <w:sz w:val="30"/>
          <w:szCs w:val="30"/>
        </w:rPr>
        <w:t>гичные сферы экономики</w:t>
      </w:r>
      <w:r w:rsidR="00B95BB1" w:rsidRPr="00B95BB1">
        <w:rPr>
          <w:sz w:val="30"/>
          <w:szCs w:val="30"/>
        </w:rPr>
        <w:t>,</w:t>
      </w:r>
      <w:r>
        <w:rPr>
          <w:sz w:val="30"/>
          <w:szCs w:val="30"/>
        </w:rPr>
        <w:t xml:space="preserve"> поскольку они х</w:t>
      </w:r>
      <w:r>
        <w:rPr>
          <w:sz w:val="30"/>
          <w:szCs w:val="30"/>
        </w:rPr>
        <w:t>а</w:t>
      </w:r>
      <w:r>
        <w:rPr>
          <w:sz w:val="30"/>
          <w:szCs w:val="30"/>
        </w:rPr>
        <w:t>рактеризуется долгим сроком окупаемости, огромными рис</w:t>
      </w:r>
      <w:r w:rsidR="000D3C2C">
        <w:rPr>
          <w:sz w:val="30"/>
          <w:szCs w:val="30"/>
        </w:rPr>
        <w:t xml:space="preserve">ками и </w:t>
      </w:r>
      <w:r>
        <w:rPr>
          <w:sz w:val="30"/>
          <w:szCs w:val="30"/>
        </w:rPr>
        <w:t>высокими прибылями</w:t>
      </w:r>
      <w:r w:rsidR="00B95BB1" w:rsidRPr="00B95BB1">
        <w:rPr>
          <w:sz w:val="30"/>
          <w:szCs w:val="30"/>
        </w:rPr>
        <w:t>.</w:t>
      </w:r>
    </w:p>
    <w:p w:rsidR="006D1143" w:rsidRPr="006D1143" w:rsidRDefault="006D1143" w:rsidP="006D1143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рамках</w:t>
      </w:r>
      <w:r w:rsidR="003A63A5">
        <w:rPr>
          <w:sz w:val="30"/>
          <w:szCs w:val="30"/>
        </w:rPr>
        <w:t xml:space="preserve"> г</w:t>
      </w:r>
      <w:r w:rsidRPr="006D1143">
        <w:rPr>
          <w:sz w:val="30"/>
          <w:szCs w:val="30"/>
        </w:rPr>
        <w:t>осударственно-частного партнёрства сформировано 7 венчур</w:t>
      </w:r>
      <w:r>
        <w:rPr>
          <w:sz w:val="30"/>
          <w:szCs w:val="30"/>
        </w:rPr>
        <w:t xml:space="preserve">ных фондов, общим объемом вложений </w:t>
      </w:r>
      <w:r w:rsidRPr="006D1143">
        <w:rPr>
          <w:sz w:val="30"/>
          <w:szCs w:val="30"/>
        </w:rPr>
        <w:t xml:space="preserve">— 18,983 </w:t>
      </w:r>
      <w:proofErr w:type="gramStart"/>
      <w:r w:rsidRPr="006D1143">
        <w:rPr>
          <w:sz w:val="30"/>
          <w:szCs w:val="30"/>
        </w:rPr>
        <w:t>млрд</w:t>
      </w:r>
      <w:proofErr w:type="gramEnd"/>
      <w:r w:rsidRPr="006D1143">
        <w:rPr>
          <w:sz w:val="30"/>
          <w:szCs w:val="30"/>
        </w:rPr>
        <w:t xml:space="preserve"> руб. Доля Российской венчурной компании в каждом фонде состав</w:t>
      </w:r>
      <w:r>
        <w:rPr>
          <w:sz w:val="30"/>
          <w:szCs w:val="30"/>
        </w:rPr>
        <w:t>ляет 49 %, а частных инвесторов –</w:t>
      </w:r>
      <w:r w:rsidRPr="006D1143">
        <w:rPr>
          <w:sz w:val="30"/>
          <w:szCs w:val="30"/>
        </w:rPr>
        <w:t xml:space="preserve"> 51 %</w:t>
      </w:r>
      <w:r>
        <w:rPr>
          <w:sz w:val="30"/>
          <w:szCs w:val="30"/>
        </w:rPr>
        <w:t>.</w:t>
      </w:r>
    </w:p>
    <w:p w:rsidR="006D1143" w:rsidRDefault="006D1143" w:rsidP="006D1143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 w:rsidRPr="006D1143">
        <w:rPr>
          <w:sz w:val="30"/>
          <w:szCs w:val="30"/>
        </w:rPr>
        <w:t>Список фондов, созданных совместно с Российской венчурной компанией</w:t>
      </w:r>
      <w:r w:rsidR="001C280A">
        <w:rPr>
          <w:sz w:val="30"/>
          <w:szCs w:val="30"/>
        </w:rPr>
        <w:t>,</w:t>
      </w:r>
      <w:r>
        <w:rPr>
          <w:sz w:val="30"/>
          <w:szCs w:val="30"/>
        </w:rPr>
        <w:t xml:space="preserve"> представлен в таблице 2.</w:t>
      </w:r>
    </w:p>
    <w:p w:rsidR="003A63A5" w:rsidRDefault="003A63A5" w:rsidP="003A63A5">
      <w:pPr>
        <w:pStyle w:val="a3"/>
        <w:spacing w:line="300" w:lineRule="auto"/>
        <w:ind w:left="0"/>
        <w:jc w:val="both"/>
        <w:rPr>
          <w:sz w:val="30"/>
          <w:szCs w:val="30"/>
        </w:rPr>
      </w:pPr>
    </w:p>
    <w:p w:rsidR="006D1143" w:rsidRPr="004373D3" w:rsidRDefault="006D1143" w:rsidP="003A63A5">
      <w:pPr>
        <w:pStyle w:val="a3"/>
        <w:spacing w:line="300" w:lineRule="auto"/>
        <w:ind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Таблица 2 – </w:t>
      </w:r>
      <w:r w:rsidRPr="006D1143">
        <w:rPr>
          <w:sz w:val="30"/>
          <w:szCs w:val="30"/>
        </w:rPr>
        <w:t>Список фондов, с</w:t>
      </w:r>
      <w:r w:rsidR="004373D3">
        <w:rPr>
          <w:sz w:val="30"/>
          <w:szCs w:val="30"/>
        </w:rPr>
        <w:t xml:space="preserve">озданных совместно с Российской </w:t>
      </w:r>
      <w:r w:rsidRPr="006D1143">
        <w:rPr>
          <w:sz w:val="30"/>
          <w:szCs w:val="30"/>
        </w:rPr>
        <w:t>ве</w:t>
      </w:r>
      <w:r w:rsidRPr="006D1143">
        <w:rPr>
          <w:sz w:val="30"/>
          <w:szCs w:val="30"/>
        </w:rPr>
        <w:t>н</w:t>
      </w:r>
      <w:r w:rsidRPr="006D1143">
        <w:rPr>
          <w:sz w:val="30"/>
          <w:szCs w:val="30"/>
        </w:rPr>
        <w:t>чурной компанией</w:t>
      </w:r>
      <w:r w:rsidR="004373D3">
        <w:rPr>
          <w:sz w:val="30"/>
          <w:szCs w:val="30"/>
        </w:rPr>
        <w:t xml:space="preserve"> </w:t>
      </w:r>
      <w:r w:rsidR="004373D3" w:rsidRPr="004373D3">
        <w:rPr>
          <w:sz w:val="30"/>
          <w:szCs w:val="30"/>
        </w:rPr>
        <w:t>[7]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1984"/>
        <w:gridCol w:w="3933"/>
      </w:tblGrid>
      <w:tr w:rsidR="004373D3" w:rsidRPr="001C280A" w:rsidTr="004373D3">
        <w:tc>
          <w:tcPr>
            <w:tcW w:w="3369" w:type="dxa"/>
            <w:vAlign w:val="center"/>
            <w:hideMark/>
          </w:tcPr>
          <w:p w:rsidR="004373D3" w:rsidRPr="001C280A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A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фонда</w:t>
            </w:r>
          </w:p>
        </w:tc>
        <w:tc>
          <w:tcPr>
            <w:tcW w:w="1984" w:type="dxa"/>
            <w:vAlign w:val="center"/>
            <w:hideMark/>
          </w:tcPr>
          <w:p w:rsidR="004373D3" w:rsidRPr="001C280A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A">
              <w:rPr>
                <w:rFonts w:ascii="Times New Roman" w:hAnsi="Times New Roman" w:cs="Times New Roman"/>
                <w:bCs/>
                <w:sz w:val="24"/>
                <w:szCs w:val="24"/>
              </w:rPr>
              <w:t>Объём фонда</w:t>
            </w:r>
          </w:p>
        </w:tc>
        <w:tc>
          <w:tcPr>
            <w:tcW w:w="3933" w:type="dxa"/>
            <w:vAlign w:val="center"/>
            <w:hideMark/>
          </w:tcPr>
          <w:p w:rsidR="004373D3" w:rsidRPr="001C280A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A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Управляющая компания</w:t>
            </w:r>
          </w:p>
        </w:tc>
      </w:tr>
      <w:tr w:rsidR="004373D3" w:rsidRPr="001C280A" w:rsidTr="004373D3">
        <w:tc>
          <w:tcPr>
            <w:tcW w:w="3369" w:type="dxa"/>
            <w:vAlign w:val="center"/>
            <w:hideMark/>
          </w:tcPr>
          <w:p w:rsidR="004373D3" w:rsidRPr="001C280A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ВТБ-Фонд венчурный</w:t>
            </w:r>
          </w:p>
        </w:tc>
        <w:tc>
          <w:tcPr>
            <w:tcW w:w="1984" w:type="dxa"/>
            <w:vAlign w:val="center"/>
            <w:hideMark/>
          </w:tcPr>
          <w:p w:rsidR="004373D3" w:rsidRPr="001C280A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A">
              <w:rPr>
                <w:rFonts w:ascii="Times New Roman" w:hAnsi="Times New Roman" w:cs="Times New Roman"/>
                <w:sz w:val="24"/>
                <w:szCs w:val="24"/>
              </w:rPr>
              <w:t xml:space="preserve">3,061 </w:t>
            </w: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vAlign w:val="center"/>
            <w:hideMark/>
          </w:tcPr>
          <w:p w:rsidR="004373D3" w:rsidRPr="001C280A" w:rsidRDefault="009538EC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ВТБ Управление активами (страница отсутствует)" w:history="1">
              <w:r w:rsidR="004373D3" w:rsidRPr="001C280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ВТБ Управление активами</w:t>
              </w:r>
            </w:hyperlink>
          </w:p>
        </w:tc>
      </w:tr>
      <w:tr w:rsidR="004373D3" w:rsidRPr="001C280A" w:rsidTr="004373D3">
        <w:tc>
          <w:tcPr>
            <w:tcW w:w="3369" w:type="dxa"/>
            <w:vAlign w:val="center"/>
            <w:hideMark/>
          </w:tcPr>
          <w:p w:rsidR="004373D3" w:rsidRPr="001C280A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Биопроцесс</w:t>
            </w:r>
            <w:proofErr w:type="spell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Кэпитал</w:t>
            </w:r>
            <w:proofErr w:type="spell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Венчурс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4373D3" w:rsidRPr="001C280A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80A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vAlign w:val="center"/>
            <w:hideMark/>
          </w:tcPr>
          <w:p w:rsidR="004373D3" w:rsidRPr="001C280A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Биопроцесс</w:t>
            </w:r>
            <w:proofErr w:type="spell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Кэпитал</w:t>
            </w:r>
            <w:proofErr w:type="spellEnd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280A">
              <w:rPr>
                <w:rFonts w:ascii="Times New Roman" w:hAnsi="Times New Roman" w:cs="Times New Roman"/>
                <w:sz w:val="24"/>
                <w:szCs w:val="24"/>
              </w:rPr>
              <w:t>Партнерс</w:t>
            </w:r>
            <w:proofErr w:type="spellEnd"/>
          </w:p>
        </w:tc>
      </w:tr>
      <w:tr w:rsidR="004373D3" w:rsidTr="004373D3">
        <w:tc>
          <w:tcPr>
            <w:tcW w:w="3369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Максвелл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Биотех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4373D3" w:rsidRPr="004373D3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3,061 млрд. руб.</w:t>
            </w:r>
          </w:p>
        </w:tc>
        <w:tc>
          <w:tcPr>
            <w:tcW w:w="3933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Максвелл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Эссет</w:t>
            </w:r>
            <w:proofErr w:type="spell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</w:t>
            </w:r>
          </w:p>
        </w:tc>
      </w:tr>
      <w:tr w:rsidR="004373D3" w:rsidTr="004373D3">
        <w:tc>
          <w:tcPr>
            <w:tcW w:w="3369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Лидер-Инновации</w:t>
            </w:r>
            <w:proofErr w:type="gramEnd"/>
          </w:p>
        </w:tc>
        <w:tc>
          <w:tcPr>
            <w:tcW w:w="1984" w:type="dxa"/>
            <w:vAlign w:val="center"/>
            <w:hideMark/>
          </w:tcPr>
          <w:p w:rsidR="004373D3" w:rsidRPr="004373D3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Лидер</w:t>
            </w:r>
          </w:p>
        </w:tc>
      </w:tr>
      <w:tr w:rsidR="004373D3" w:rsidTr="004373D3">
        <w:tc>
          <w:tcPr>
            <w:tcW w:w="3369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 Фишман Си</w:t>
            </w:r>
            <w:proofErr w:type="gram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й Джи</w:t>
            </w:r>
          </w:p>
        </w:tc>
        <w:tc>
          <w:tcPr>
            <w:tcW w:w="1984" w:type="dxa"/>
            <w:vAlign w:val="center"/>
            <w:hideMark/>
          </w:tcPr>
          <w:p w:rsidR="004373D3" w:rsidRPr="004373D3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Инновационные решения</w:t>
            </w:r>
          </w:p>
        </w:tc>
      </w:tr>
      <w:tr w:rsidR="004373D3" w:rsidTr="004373D3">
        <w:tc>
          <w:tcPr>
            <w:tcW w:w="3369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Новые технологии</w:t>
            </w:r>
          </w:p>
        </w:tc>
        <w:tc>
          <w:tcPr>
            <w:tcW w:w="1984" w:type="dxa"/>
            <w:vAlign w:val="center"/>
            <w:hideMark/>
          </w:tcPr>
          <w:p w:rsidR="004373D3" w:rsidRPr="004373D3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3,061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vAlign w:val="center"/>
            <w:hideMark/>
          </w:tcPr>
          <w:p w:rsidR="004373D3" w:rsidRPr="004373D3" w:rsidRDefault="009538EC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Альянс РОСНО Управление Активами (страница отсутствует)" w:history="1">
              <w:r w:rsidR="004373D3" w:rsidRPr="004373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Альянс РОСНО Управление Акт</w:t>
              </w:r>
              <w:r w:rsidR="004373D3" w:rsidRPr="004373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</w:t>
              </w:r>
              <w:r w:rsidR="004373D3" w:rsidRPr="004373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вами</w:t>
              </w:r>
            </w:hyperlink>
          </w:p>
        </w:tc>
      </w:tr>
      <w:tr w:rsidR="004373D3" w:rsidTr="004373D3">
        <w:tc>
          <w:tcPr>
            <w:tcW w:w="3369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С-Групп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Венчурс</w:t>
            </w:r>
            <w:proofErr w:type="spellEnd"/>
          </w:p>
        </w:tc>
        <w:tc>
          <w:tcPr>
            <w:tcW w:w="1984" w:type="dxa"/>
            <w:vAlign w:val="center"/>
            <w:hideMark/>
          </w:tcPr>
          <w:p w:rsidR="004373D3" w:rsidRPr="004373D3" w:rsidRDefault="004373D3" w:rsidP="00437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1,8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3" w:type="dxa"/>
            <w:vAlign w:val="center"/>
            <w:hideMark/>
          </w:tcPr>
          <w:p w:rsidR="004373D3" w:rsidRPr="004373D3" w:rsidRDefault="004373D3" w:rsidP="0043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Север </w:t>
            </w:r>
            <w:proofErr w:type="spellStart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>Эссет</w:t>
            </w:r>
            <w:proofErr w:type="spellEnd"/>
            <w:r w:rsidRPr="004373D3">
              <w:rPr>
                <w:rFonts w:ascii="Times New Roman" w:hAnsi="Times New Roman" w:cs="Times New Roman"/>
                <w:sz w:val="24"/>
                <w:szCs w:val="24"/>
              </w:rPr>
              <w:t xml:space="preserve"> Менеджмент</w:t>
            </w:r>
          </w:p>
        </w:tc>
      </w:tr>
    </w:tbl>
    <w:p w:rsidR="006D1143" w:rsidRDefault="006D1143" w:rsidP="006D1143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</w:p>
    <w:p w:rsidR="00B95BB1" w:rsidRPr="006D1143" w:rsidRDefault="003A63A5" w:rsidP="006D1143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мнению </w:t>
      </w:r>
      <w:proofErr w:type="spellStart"/>
      <w:r>
        <w:rPr>
          <w:sz w:val="30"/>
          <w:szCs w:val="30"/>
        </w:rPr>
        <w:t>П.</w:t>
      </w:r>
      <w:r w:rsidR="006D1143" w:rsidRPr="006D1143">
        <w:rPr>
          <w:sz w:val="30"/>
          <w:szCs w:val="30"/>
        </w:rPr>
        <w:t>Тиля</w:t>
      </w:r>
      <w:proofErr w:type="spellEnd"/>
      <w:r w:rsidR="006D1143" w:rsidRPr="006D1143">
        <w:rPr>
          <w:sz w:val="30"/>
          <w:szCs w:val="30"/>
        </w:rPr>
        <w:t>, управляющего партнера венчурно</w:t>
      </w:r>
      <w:r w:rsidR="006D1143">
        <w:rPr>
          <w:sz w:val="30"/>
          <w:szCs w:val="30"/>
        </w:rPr>
        <w:t xml:space="preserve">го фонда </w:t>
      </w:r>
      <w:proofErr w:type="spellStart"/>
      <w:r w:rsidR="006D1143">
        <w:rPr>
          <w:sz w:val="30"/>
          <w:szCs w:val="30"/>
        </w:rPr>
        <w:t>Founders</w:t>
      </w:r>
      <w:proofErr w:type="spellEnd"/>
      <w:r w:rsidR="006D1143">
        <w:rPr>
          <w:sz w:val="30"/>
          <w:szCs w:val="30"/>
        </w:rPr>
        <w:t xml:space="preserve"> </w:t>
      </w:r>
      <w:proofErr w:type="spellStart"/>
      <w:r w:rsidR="006D1143">
        <w:rPr>
          <w:sz w:val="30"/>
          <w:szCs w:val="30"/>
        </w:rPr>
        <w:t>Fund</w:t>
      </w:r>
      <w:proofErr w:type="spellEnd"/>
      <w:r w:rsidR="006D1143">
        <w:rPr>
          <w:sz w:val="30"/>
          <w:szCs w:val="30"/>
        </w:rPr>
        <w:t xml:space="preserve">, </w:t>
      </w:r>
      <w:r w:rsidR="006D1143" w:rsidRPr="006D1143">
        <w:rPr>
          <w:sz w:val="30"/>
          <w:szCs w:val="30"/>
        </w:rPr>
        <w:t>секрет успеха венчурного финансирования состоит в том, что самая удачная инвестиция принесёт не меньше, а зачастую больше доходов, чем остальные инвести</w:t>
      </w:r>
      <w:r w:rsidR="004373D3">
        <w:rPr>
          <w:sz w:val="30"/>
          <w:szCs w:val="30"/>
        </w:rPr>
        <w:t xml:space="preserve">ции в совокупности </w:t>
      </w:r>
      <w:r w:rsidR="00C84A26">
        <w:rPr>
          <w:sz w:val="30"/>
          <w:szCs w:val="30"/>
        </w:rPr>
        <w:t>[8</w:t>
      </w:r>
      <w:r w:rsidR="006D1143" w:rsidRPr="004373D3">
        <w:rPr>
          <w:sz w:val="30"/>
          <w:szCs w:val="30"/>
        </w:rPr>
        <w:t>]</w:t>
      </w:r>
      <w:r w:rsidR="004373D3">
        <w:rPr>
          <w:sz w:val="30"/>
          <w:szCs w:val="30"/>
        </w:rPr>
        <w:t>.</w:t>
      </w:r>
    </w:p>
    <w:p w:rsidR="008165F8" w:rsidRDefault="00B6532E" w:rsidP="006D1143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Однако, наиболее распространенным инструментом, применя</w:t>
      </w:r>
      <w:r>
        <w:rPr>
          <w:sz w:val="30"/>
          <w:szCs w:val="30"/>
        </w:rPr>
        <w:t>е</w:t>
      </w:r>
      <w:r>
        <w:rPr>
          <w:sz w:val="30"/>
          <w:szCs w:val="30"/>
        </w:rPr>
        <w:t>мым в ГЧП, являются</w:t>
      </w:r>
      <w:r w:rsidR="00BF4381" w:rsidRPr="00BF4381">
        <w:rPr>
          <w:sz w:val="30"/>
          <w:szCs w:val="30"/>
        </w:rPr>
        <w:t xml:space="preserve"> государственные контракты и концессионные соглашения.</w:t>
      </w:r>
    </w:p>
    <w:p w:rsidR="008165F8" w:rsidRDefault="008165F8" w:rsidP="006D1143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Концессионные соглашения</w:t>
      </w:r>
      <w:r w:rsidR="0062300C">
        <w:rPr>
          <w:sz w:val="30"/>
          <w:szCs w:val="30"/>
        </w:rPr>
        <w:t xml:space="preserve"> имеют следующие формы: </w:t>
      </w:r>
    </w:p>
    <w:p w:rsidR="008165F8" w:rsidRDefault="0062300C" w:rsidP="006D1143">
      <w:pPr>
        <w:pStyle w:val="a3"/>
        <w:numPr>
          <w:ilvl w:val="0"/>
          <w:numId w:val="8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62300C">
        <w:rPr>
          <w:sz w:val="30"/>
          <w:szCs w:val="30"/>
        </w:rPr>
        <w:t>BOT (</w:t>
      </w:r>
      <w:proofErr w:type="spellStart"/>
      <w:r w:rsidRPr="0062300C">
        <w:rPr>
          <w:sz w:val="30"/>
          <w:szCs w:val="30"/>
        </w:rPr>
        <w:t>Build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Operate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Transfer</w:t>
      </w:r>
      <w:proofErr w:type="spellEnd"/>
      <w:r w:rsidRPr="0062300C">
        <w:rPr>
          <w:sz w:val="30"/>
          <w:szCs w:val="30"/>
        </w:rPr>
        <w:t>) - «Строительство - Упра</w:t>
      </w:r>
      <w:r w:rsidRPr="0062300C">
        <w:rPr>
          <w:sz w:val="30"/>
          <w:szCs w:val="30"/>
        </w:rPr>
        <w:t>в</w:t>
      </w:r>
      <w:r w:rsidRPr="0062300C">
        <w:rPr>
          <w:sz w:val="30"/>
          <w:szCs w:val="30"/>
        </w:rPr>
        <w:t xml:space="preserve">ление </w:t>
      </w:r>
      <w:r>
        <w:rPr>
          <w:sz w:val="30"/>
          <w:szCs w:val="30"/>
        </w:rPr>
        <w:t xml:space="preserve">– </w:t>
      </w:r>
      <w:r w:rsidRPr="0062300C">
        <w:rPr>
          <w:sz w:val="30"/>
          <w:szCs w:val="30"/>
        </w:rPr>
        <w:t>Передача</w:t>
      </w:r>
      <w:r>
        <w:rPr>
          <w:sz w:val="30"/>
          <w:szCs w:val="30"/>
        </w:rPr>
        <w:t xml:space="preserve">»; </w:t>
      </w:r>
    </w:p>
    <w:p w:rsidR="008165F8" w:rsidRDefault="0062300C" w:rsidP="006D1143">
      <w:pPr>
        <w:pStyle w:val="a3"/>
        <w:numPr>
          <w:ilvl w:val="0"/>
          <w:numId w:val="8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62300C">
        <w:rPr>
          <w:sz w:val="30"/>
          <w:szCs w:val="30"/>
        </w:rPr>
        <w:t>BTO (</w:t>
      </w:r>
      <w:proofErr w:type="spellStart"/>
      <w:r w:rsidRPr="0062300C">
        <w:rPr>
          <w:sz w:val="30"/>
          <w:szCs w:val="30"/>
        </w:rPr>
        <w:t>Build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Transfer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Operate</w:t>
      </w:r>
      <w:proofErr w:type="spellEnd"/>
      <w:r w:rsidRPr="0062300C">
        <w:rPr>
          <w:sz w:val="30"/>
          <w:szCs w:val="30"/>
        </w:rPr>
        <w:t>) - «Строительство - Пере</w:t>
      </w:r>
      <w:r>
        <w:rPr>
          <w:sz w:val="30"/>
          <w:szCs w:val="30"/>
        </w:rPr>
        <w:t>д</w:t>
      </w:r>
      <w:r>
        <w:rPr>
          <w:sz w:val="30"/>
          <w:szCs w:val="30"/>
        </w:rPr>
        <w:t>а</w:t>
      </w:r>
      <w:r>
        <w:rPr>
          <w:sz w:val="30"/>
          <w:szCs w:val="30"/>
        </w:rPr>
        <w:t xml:space="preserve">ча - </w:t>
      </w:r>
      <w:r w:rsidRPr="0062300C">
        <w:rPr>
          <w:sz w:val="30"/>
          <w:szCs w:val="30"/>
        </w:rPr>
        <w:t>Управление»</w:t>
      </w:r>
      <w:r>
        <w:rPr>
          <w:sz w:val="30"/>
          <w:szCs w:val="30"/>
        </w:rPr>
        <w:t xml:space="preserve">; </w:t>
      </w:r>
    </w:p>
    <w:p w:rsidR="008165F8" w:rsidRDefault="0062300C" w:rsidP="006D1143">
      <w:pPr>
        <w:pStyle w:val="a3"/>
        <w:numPr>
          <w:ilvl w:val="0"/>
          <w:numId w:val="8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62300C">
        <w:rPr>
          <w:sz w:val="30"/>
          <w:szCs w:val="30"/>
        </w:rPr>
        <w:t>ВОО (</w:t>
      </w:r>
      <w:proofErr w:type="spellStart"/>
      <w:r w:rsidRPr="0062300C">
        <w:rPr>
          <w:sz w:val="30"/>
          <w:szCs w:val="30"/>
        </w:rPr>
        <w:t>Build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Own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Operate</w:t>
      </w:r>
      <w:proofErr w:type="spellEnd"/>
      <w:r w:rsidRPr="0062300C">
        <w:rPr>
          <w:sz w:val="30"/>
          <w:szCs w:val="30"/>
        </w:rPr>
        <w:t xml:space="preserve">) - «Строительство - Владение </w:t>
      </w:r>
      <w:r>
        <w:rPr>
          <w:sz w:val="30"/>
          <w:szCs w:val="30"/>
        </w:rPr>
        <w:t xml:space="preserve">– </w:t>
      </w:r>
      <w:r w:rsidRPr="0062300C">
        <w:rPr>
          <w:sz w:val="30"/>
          <w:szCs w:val="30"/>
        </w:rPr>
        <w:t>Управление</w:t>
      </w:r>
      <w:r>
        <w:rPr>
          <w:sz w:val="30"/>
          <w:szCs w:val="30"/>
        </w:rPr>
        <w:t xml:space="preserve">»; </w:t>
      </w:r>
    </w:p>
    <w:p w:rsidR="008165F8" w:rsidRDefault="0062300C" w:rsidP="006D1143">
      <w:pPr>
        <w:pStyle w:val="a3"/>
        <w:numPr>
          <w:ilvl w:val="0"/>
          <w:numId w:val="8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62300C">
        <w:rPr>
          <w:sz w:val="30"/>
          <w:szCs w:val="30"/>
        </w:rPr>
        <w:t>ВООТ (</w:t>
      </w:r>
      <w:proofErr w:type="spellStart"/>
      <w:r w:rsidRPr="0062300C">
        <w:rPr>
          <w:sz w:val="30"/>
          <w:szCs w:val="30"/>
        </w:rPr>
        <w:t>Build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Own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Operate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Transfer</w:t>
      </w:r>
      <w:proofErr w:type="spellEnd"/>
      <w:r w:rsidRPr="0062300C">
        <w:rPr>
          <w:sz w:val="30"/>
          <w:szCs w:val="30"/>
        </w:rPr>
        <w:t>) - «Строительство - Владе</w:t>
      </w:r>
      <w:r>
        <w:rPr>
          <w:sz w:val="30"/>
          <w:szCs w:val="30"/>
        </w:rPr>
        <w:t xml:space="preserve">ние - </w:t>
      </w:r>
      <w:r w:rsidRPr="0062300C">
        <w:rPr>
          <w:sz w:val="30"/>
          <w:szCs w:val="30"/>
        </w:rPr>
        <w:t>Управление - Передача»</w:t>
      </w:r>
      <w:r>
        <w:rPr>
          <w:sz w:val="30"/>
          <w:szCs w:val="30"/>
        </w:rPr>
        <w:t xml:space="preserve">; </w:t>
      </w:r>
    </w:p>
    <w:p w:rsidR="00BF4381" w:rsidRDefault="0062300C" w:rsidP="006D1143">
      <w:pPr>
        <w:pStyle w:val="a3"/>
        <w:numPr>
          <w:ilvl w:val="0"/>
          <w:numId w:val="8"/>
        </w:numPr>
        <w:spacing w:line="300" w:lineRule="auto"/>
        <w:ind w:left="0" w:firstLine="709"/>
        <w:jc w:val="both"/>
        <w:rPr>
          <w:sz w:val="30"/>
          <w:szCs w:val="30"/>
        </w:rPr>
      </w:pPr>
      <w:r w:rsidRPr="0062300C">
        <w:rPr>
          <w:sz w:val="30"/>
          <w:szCs w:val="30"/>
        </w:rPr>
        <w:t>ВВО (</w:t>
      </w:r>
      <w:proofErr w:type="spellStart"/>
      <w:r w:rsidRPr="0062300C">
        <w:rPr>
          <w:sz w:val="30"/>
          <w:szCs w:val="30"/>
        </w:rPr>
        <w:t>Buy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Build</w:t>
      </w:r>
      <w:proofErr w:type="spellEnd"/>
      <w:r w:rsidRPr="0062300C">
        <w:rPr>
          <w:sz w:val="30"/>
          <w:szCs w:val="30"/>
        </w:rPr>
        <w:t xml:space="preserve"> - </w:t>
      </w:r>
      <w:proofErr w:type="spellStart"/>
      <w:r w:rsidRPr="0062300C">
        <w:rPr>
          <w:sz w:val="30"/>
          <w:szCs w:val="30"/>
        </w:rPr>
        <w:t>Operate</w:t>
      </w:r>
      <w:proofErr w:type="spellEnd"/>
      <w:r w:rsidRPr="0062300C">
        <w:rPr>
          <w:sz w:val="30"/>
          <w:szCs w:val="30"/>
        </w:rPr>
        <w:t>) - «Покупка - Строительство - Управление».</w:t>
      </w:r>
    </w:p>
    <w:p w:rsidR="00BF4381" w:rsidRDefault="0062300C" w:rsidP="00BF4381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Помимо </w:t>
      </w:r>
      <w:r w:rsidR="008165F8">
        <w:rPr>
          <w:sz w:val="30"/>
          <w:szCs w:val="30"/>
        </w:rPr>
        <w:t xml:space="preserve">вышеперечисленных </w:t>
      </w:r>
      <w:r w:rsidR="00BF4381" w:rsidRPr="00BF4381">
        <w:rPr>
          <w:sz w:val="30"/>
          <w:szCs w:val="30"/>
        </w:rPr>
        <w:t>российское законодательство предлага</w:t>
      </w:r>
      <w:r w:rsidR="00BF4381">
        <w:rPr>
          <w:sz w:val="30"/>
          <w:szCs w:val="30"/>
        </w:rPr>
        <w:t>ет совокупность</w:t>
      </w:r>
      <w:r w:rsidR="003A63A5">
        <w:rPr>
          <w:sz w:val="30"/>
          <w:szCs w:val="30"/>
        </w:rPr>
        <w:t xml:space="preserve"> инструментов, которые могут </w:t>
      </w:r>
      <w:r w:rsidR="00BF4381" w:rsidRPr="00BF4381">
        <w:rPr>
          <w:sz w:val="30"/>
          <w:szCs w:val="30"/>
        </w:rPr>
        <w:t>применять</w:t>
      </w:r>
      <w:r w:rsidR="003A63A5">
        <w:rPr>
          <w:sz w:val="30"/>
          <w:szCs w:val="30"/>
        </w:rPr>
        <w:t>ся</w:t>
      </w:r>
      <w:r w:rsidR="00BF4381" w:rsidRPr="00BF4381">
        <w:rPr>
          <w:sz w:val="30"/>
          <w:szCs w:val="30"/>
        </w:rPr>
        <w:t xml:space="preserve"> в про</w:t>
      </w:r>
      <w:r w:rsidR="003A63A5">
        <w:rPr>
          <w:sz w:val="30"/>
          <w:szCs w:val="30"/>
        </w:rPr>
        <w:t>ектах ГЧП</w:t>
      </w:r>
      <w:r w:rsidR="00BF4381" w:rsidRPr="00BF4381">
        <w:rPr>
          <w:sz w:val="30"/>
          <w:szCs w:val="30"/>
        </w:rPr>
        <w:t>: Инвестиционный фонд РФ, особые экономические з</w:t>
      </w:r>
      <w:r w:rsidR="00BF4381" w:rsidRPr="00BF4381">
        <w:rPr>
          <w:sz w:val="30"/>
          <w:szCs w:val="30"/>
        </w:rPr>
        <w:t>о</w:t>
      </w:r>
      <w:r>
        <w:rPr>
          <w:sz w:val="30"/>
          <w:szCs w:val="30"/>
        </w:rPr>
        <w:t>ны</w:t>
      </w:r>
      <w:r w:rsidR="00BF4381" w:rsidRPr="00BF4381">
        <w:rPr>
          <w:sz w:val="30"/>
          <w:szCs w:val="30"/>
        </w:rPr>
        <w:t>, Российска</w:t>
      </w:r>
      <w:r>
        <w:rPr>
          <w:sz w:val="30"/>
          <w:szCs w:val="30"/>
        </w:rPr>
        <w:t xml:space="preserve">я венчурная компания, </w:t>
      </w:r>
      <w:r w:rsidR="00BF4381" w:rsidRPr="00BF4381">
        <w:rPr>
          <w:sz w:val="30"/>
          <w:szCs w:val="30"/>
        </w:rPr>
        <w:t>региональные фонды разви</w:t>
      </w:r>
      <w:r>
        <w:rPr>
          <w:sz w:val="30"/>
          <w:szCs w:val="30"/>
        </w:rPr>
        <w:t>тия и др</w:t>
      </w:r>
      <w:r w:rsidR="00BF4381" w:rsidRPr="00BF4381">
        <w:rPr>
          <w:sz w:val="30"/>
          <w:szCs w:val="30"/>
        </w:rPr>
        <w:t xml:space="preserve">. </w:t>
      </w:r>
      <w:r w:rsidR="00BF4381">
        <w:rPr>
          <w:sz w:val="30"/>
          <w:szCs w:val="30"/>
        </w:rPr>
        <w:t>Существование и распространение таких</w:t>
      </w:r>
      <w:r>
        <w:rPr>
          <w:sz w:val="30"/>
          <w:szCs w:val="30"/>
        </w:rPr>
        <w:t xml:space="preserve"> инструментов ГЧП</w:t>
      </w:r>
      <w:r w:rsidR="008165F8">
        <w:rPr>
          <w:sz w:val="30"/>
          <w:szCs w:val="30"/>
        </w:rPr>
        <w:t xml:space="preserve"> </w:t>
      </w:r>
      <w:r>
        <w:rPr>
          <w:sz w:val="30"/>
          <w:szCs w:val="30"/>
        </w:rPr>
        <w:t>в России</w:t>
      </w:r>
      <w:r w:rsidR="003A63A5">
        <w:rPr>
          <w:sz w:val="30"/>
          <w:szCs w:val="30"/>
        </w:rPr>
        <w:t>,</w:t>
      </w:r>
      <w:r>
        <w:rPr>
          <w:sz w:val="30"/>
          <w:szCs w:val="30"/>
        </w:rPr>
        <w:t xml:space="preserve"> не</w:t>
      </w:r>
      <w:r w:rsidR="00F04517">
        <w:rPr>
          <w:sz w:val="30"/>
          <w:szCs w:val="30"/>
        </w:rPr>
        <w:t>сомненно</w:t>
      </w:r>
      <w:r w:rsidR="003A63A5">
        <w:rPr>
          <w:sz w:val="30"/>
          <w:szCs w:val="30"/>
        </w:rPr>
        <w:t>,</w:t>
      </w:r>
      <w:r w:rsidR="00F04517">
        <w:rPr>
          <w:sz w:val="30"/>
          <w:szCs w:val="30"/>
        </w:rPr>
        <w:t xml:space="preserve"> является</w:t>
      </w:r>
      <w:r w:rsidR="00BF4381" w:rsidRPr="00BF4381">
        <w:rPr>
          <w:sz w:val="30"/>
          <w:szCs w:val="30"/>
        </w:rPr>
        <w:t xml:space="preserve"> подтвержд</w:t>
      </w:r>
      <w:r w:rsidR="00F04517">
        <w:rPr>
          <w:sz w:val="30"/>
          <w:szCs w:val="30"/>
        </w:rPr>
        <w:t>ением</w:t>
      </w:r>
      <w:r w:rsidR="00BF4381" w:rsidRPr="00BF4381">
        <w:rPr>
          <w:sz w:val="30"/>
          <w:szCs w:val="30"/>
        </w:rPr>
        <w:t xml:space="preserve"> актуальност</w:t>
      </w:r>
      <w:r w:rsidR="00F04517">
        <w:rPr>
          <w:sz w:val="30"/>
          <w:szCs w:val="30"/>
        </w:rPr>
        <w:t>и</w:t>
      </w:r>
      <w:r w:rsidR="00BF4381" w:rsidRPr="00BF4381">
        <w:rPr>
          <w:sz w:val="30"/>
          <w:szCs w:val="30"/>
        </w:rPr>
        <w:t xml:space="preserve"> </w:t>
      </w:r>
      <w:r w:rsidR="008165F8">
        <w:rPr>
          <w:sz w:val="30"/>
          <w:szCs w:val="30"/>
        </w:rPr>
        <w:t>развития данной формы партнерства</w:t>
      </w:r>
      <w:r w:rsidR="00BF4381" w:rsidRPr="00BF4381">
        <w:rPr>
          <w:sz w:val="30"/>
          <w:szCs w:val="30"/>
        </w:rPr>
        <w:t xml:space="preserve"> </w:t>
      </w:r>
      <w:r w:rsidR="00F04517">
        <w:rPr>
          <w:sz w:val="30"/>
          <w:szCs w:val="30"/>
        </w:rPr>
        <w:t>в существующей геополитической ситу</w:t>
      </w:r>
      <w:r w:rsidR="00F04517">
        <w:rPr>
          <w:sz w:val="30"/>
          <w:szCs w:val="30"/>
        </w:rPr>
        <w:t>а</w:t>
      </w:r>
      <w:r w:rsidR="00F04517">
        <w:rPr>
          <w:sz w:val="30"/>
          <w:szCs w:val="30"/>
        </w:rPr>
        <w:t>ции</w:t>
      </w:r>
      <w:r w:rsidR="00BF4381" w:rsidRPr="00BF4381">
        <w:rPr>
          <w:sz w:val="30"/>
          <w:szCs w:val="30"/>
        </w:rPr>
        <w:t>.</w:t>
      </w:r>
    </w:p>
    <w:p w:rsidR="0062300C" w:rsidRDefault="003A63A5" w:rsidP="00BF4381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Таким образом, </w:t>
      </w:r>
      <w:r w:rsidR="0062300C">
        <w:rPr>
          <w:sz w:val="30"/>
          <w:szCs w:val="30"/>
        </w:rPr>
        <w:t>государственно-частное</w:t>
      </w:r>
      <w:r w:rsidR="001C280A">
        <w:rPr>
          <w:sz w:val="30"/>
          <w:szCs w:val="30"/>
        </w:rPr>
        <w:t xml:space="preserve"> партнерство начинает уверенно </w:t>
      </w:r>
      <w:r w:rsidR="0062300C">
        <w:rPr>
          <w:sz w:val="30"/>
          <w:szCs w:val="30"/>
        </w:rPr>
        <w:t xml:space="preserve">входить в российскую экономику, </w:t>
      </w:r>
      <w:r w:rsidR="00152581">
        <w:rPr>
          <w:sz w:val="30"/>
          <w:szCs w:val="30"/>
        </w:rPr>
        <w:t xml:space="preserve">но слабая проработка нормативно-правовой базы, неполное представление о </w:t>
      </w:r>
      <w:r w:rsidR="008165F8">
        <w:rPr>
          <w:sz w:val="30"/>
          <w:szCs w:val="30"/>
        </w:rPr>
        <w:t>данном типе партнерства</w:t>
      </w:r>
      <w:r w:rsidR="00152581">
        <w:rPr>
          <w:sz w:val="30"/>
          <w:szCs w:val="30"/>
        </w:rPr>
        <w:t xml:space="preserve"> и российский экономический менталитет не позволяют </w:t>
      </w:r>
      <w:r>
        <w:rPr>
          <w:sz w:val="30"/>
          <w:szCs w:val="30"/>
        </w:rPr>
        <w:t xml:space="preserve">в полной мере развиваться данной форме партнерства. </w:t>
      </w:r>
      <w:r w:rsidR="001E2223">
        <w:rPr>
          <w:sz w:val="30"/>
          <w:szCs w:val="30"/>
        </w:rPr>
        <w:t>П</w:t>
      </w:r>
      <w:r w:rsidR="004A4A56">
        <w:rPr>
          <w:sz w:val="30"/>
          <w:szCs w:val="30"/>
        </w:rPr>
        <w:t>остоянный п</w:t>
      </w:r>
      <w:r w:rsidR="004A4A56">
        <w:rPr>
          <w:sz w:val="30"/>
          <w:szCs w:val="30"/>
        </w:rPr>
        <w:t>о</w:t>
      </w:r>
      <w:r w:rsidR="004A4A56">
        <w:rPr>
          <w:sz w:val="30"/>
          <w:szCs w:val="30"/>
        </w:rPr>
        <w:t xml:space="preserve">иск новых и </w:t>
      </w:r>
      <w:r w:rsidR="00152581">
        <w:rPr>
          <w:sz w:val="30"/>
          <w:szCs w:val="30"/>
        </w:rPr>
        <w:t xml:space="preserve"> исследование</w:t>
      </w:r>
      <w:r w:rsidR="004A4A56">
        <w:rPr>
          <w:sz w:val="30"/>
          <w:szCs w:val="30"/>
        </w:rPr>
        <w:t xml:space="preserve"> уже существующих</w:t>
      </w:r>
      <w:r w:rsidR="00152581">
        <w:rPr>
          <w:sz w:val="30"/>
          <w:szCs w:val="30"/>
        </w:rPr>
        <w:t xml:space="preserve"> инструмен</w:t>
      </w:r>
      <w:r w:rsidR="001E2223">
        <w:rPr>
          <w:sz w:val="30"/>
          <w:szCs w:val="30"/>
        </w:rPr>
        <w:t>тов ГЧП</w:t>
      </w:r>
      <w:r w:rsidR="00152581">
        <w:rPr>
          <w:sz w:val="30"/>
          <w:szCs w:val="30"/>
        </w:rPr>
        <w:t xml:space="preserve"> с целью эффективного их использования </w:t>
      </w:r>
      <w:r w:rsidR="00152581" w:rsidRPr="00D648C9">
        <w:rPr>
          <w:sz w:val="30"/>
          <w:szCs w:val="30"/>
        </w:rPr>
        <w:t>в услови</w:t>
      </w:r>
      <w:r w:rsidR="001E2223">
        <w:rPr>
          <w:sz w:val="30"/>
          <w:szCs w:val="30"/>
        </w:rPr>
        <w:t xml:space="preserve">ях современной </w:t>
      </w:r>
      <w:r w:rsidR="00152581" w:rsidRPr="00D648C9">
        <w:rPr>
          <w:sz w:val="30"/>
          <w:szCs w:val="30"/>
        </w:rPr>
        <w:t>ге</w:t>
      </w:r>
      <w:r w:rsidR="00152581" w:rsidRPr="00D648C9">
        <w:rPr>
          <w:sz w:val="30"/>
          <w:szCs w:val="30"/>
        </w:rPr>
        <w:t>о</w:t>
      </w:r>
      <w:r w:rsidR="00152581" w:rsidRPr="00D648C9">
        <w:rPr>
          <w:sz w:val="30"/>
          <w:szCs w:val="30"/>
        </w:rPr>
        <w:t>политической ситуа</w:t>
      </w:r>
      <w:r w:rsidR="004A4A56">
        <w:rPr>
          <w:sz w:val="30"/>
          <w:szCs w:val="30"/>
        </w:rPr>
        <w:t>ции, а также распространения данного явления в более широких мас</w:t>
      </w:r>
      <w:r w:rsidR="001E2223">
        <w:rPr>
          <w:sz w:val="30"/>
          <w:szCs w:val="30"/>
        </w:rPr>
        <w:t>штабах является актуальным трендом современн</w:t>
      </w:r>
      <w:r w:rsidR="001E2223">
        <w:rPr>
          <w:sz w:val="30"/>
          <w:szCs w:val="30"/>
        </w:rPr>
        <w:t>о</w:t>
      </w:r>
      <w:r w:rsidR="001E2223">
        <w:rPr>
          <w:sz w:val="30"/>
          <w:szCs w:val="30"/>
        </w:rPr>
        <w:t>го экономического развития.</w:t>
      </w:r>
    </w:p>
    <w:p w:rsidR="004A4A56" w:rsidRDefault="004A4A56" w:rsidP="00BF4381">
      <w:pPr>
        <w:pStyle w:val="a3"/>
        <w:spacing w:line="300" w:lineRule="auto"/>
        <w:ind w:left="0" w:firstLine="709"/>
        <w:jc w:val="both"/>
        <w:rPr>
          <w:sz w:val="30"/>
          <w:szCs w:val="30"/>
        </w:rPr>
      </w:pPr>
    </w:p>
    <w:p w:rsidR="00646399" w:rsidRPr="00774A4C" w:rsidRDefault="00774A4C" w:rsidP="00D648C9">
      <w:pPr>
        <w:spacing w:after="0" w:line="300" w:lineRule="auto"/>
        <w:ind w:firstLine="709"/>
        <w:rPr>
          <w:rFonts w:ascii="Times New Roman" w:hAnsi="Times New Roman" w:cs="Times New Roman"/>
          <w:b/>
          <w:i/>
          <w:sz w:val="24"/>
        </w:rPr>
      </w:pPr>
      <w:r w:rsidRPr="00774A4C">
        <w:rPr>
          <w:rFonts w:ascii="Times New Roman" w:hAnsi="Times New Roman" w:cs="Times New Roman"/>
          <w:b/>
          <w:i/>
          <w:sz w:val="24"/>
        </w:rPr>
        <w:t>Библиографический список</w:t>
      </w:r>
    </w:p>
    <w:p w:rsidR="00774A4C" w:rsidRPr="00884D4F" w:rsidRDefault="00774A4C" w:rsidP="00884D4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r w:rsidRPr="00526610"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</w:t>
      </w:r>
      <w:r w:rsidRPr="00526610">
        <w:t>с</w:t>
      </w:r>
      <w:r w:rsidRPr="00526610">
        <w:t xml:space="preserve">сийской Федерации: </w:t>
      </w:r>
      <w:hyperlink r:id="rId11" w:history="1">
        <w:r w:rsidRPr="00526610">
          <w:t>Федеральный закон</w:t>
        </w:r>
      </w:hyperlink>
      <w:r>
        <w:t> Российской</w:t>
      </w:r>
      <w:r w:rsidRPr="00526610">
        <w:t xml:space="preserve"> Федерации от 13 июля 2015</w:t>
      </w:r>
      <w:r>
        <w:t> г.</w:t>
      </w:r>
      <w:r w:rsidRPr="00526610">
        <w:t xml:space="preserve"> </w:t>
      </w:r>
      <w:r w:rsidRPr="00526610">
        <w:lastRenderedPageBreak/>
        <w:t>№224-ФЗ / Гарант: информационно-правовой портал. – 2015.</w:t>
      </w:r>
    </w:p>
    <w:p w:rsidR="00884D4F" w:rsidRPr="00884D4F" w:rsidRDefault="00884D4F" w:rsidP="00884D4F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proofErr w:type="spellStart"/>
      <w:r w:rsidRPr="00884D4F">
        <w:t>Варнавский</w:t>
      </w:r>
      <w:proofErr w:type="spellEnd"/>
      <w:r w:rsidR="00757C43">
        <w:t>,</w:t>
      </w:r>
      <w:r w:rsidRPr="00884D4F">
        <w:t xml:space="preserve"> В.Г. Государственно-частное </w:t>
      </w:r>
      <w:r w:rsidR="00AD5AB1">
        <w:t xml:space="preserve">партнерство. / В.Г. </w:t>
      </w:r>
      <w:proofErr w:type="spellStart"/>
      <w:r w:rsidR="00AD5AB1">
        <w:t>Варнавский</w:t>
      </w:r>
      <w:proofErr w:type="spellEnd"/>
      <w:r w:rsidR="00AD5AB1">
        <w:t xml:space="preserve"> –</w:t>
      </w:r>
      <w:r>
        <w:t xml:space="preserve"> М.: ИМЭМО РАН, 20</w:t>
      </w:r>
      <w:r w:rsidRPr="00EA5BD3">
        <w:t>13</w:t>
      </w:r>
      <w:r w:rsidR="00AD5AB1">
        <w:t xml:space="preserve"> –</w:t>
      </w:r>
      <w:r w:rsidRPr="00884D4F">
        <w:t xml:space="preserve"> том 1, с.12.</w:t>
      </w:r>
    </w:p>
    <w:p w:rsidR="00AA0A7D" w:rsidRDefault="00AA0A7D" w:rsidP="006D0D5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r w:rsidRPr="00526610">
        <w:t>Развитие государственно-частного партнерства в суб</w:t>
      </w:r>
      <w:r>
        <w:t xml:space="preserve">ъектах РФ. Рейтинг </w:t>
      </w:r>
      <w:r w:rsidRPr="00526610">
        <w:t>р</w:t>
      </w:r>
      <w:r w:rsidRPr="00526610">
        <w:t>е</w:t>
      </w:r>
      <w:r w:rsidRPr="00526610">
        <w:t>гионов ГЧП-2014. – М.: Министерство эк</w:t>
      </w:r>
      <w:r>
        <w:t xml:space="preserve">ономического развития РФ, Центр </w:t>
      </w:r>
      <w:r w:rsidRPr="00526610">
        <w:t>развития государств</w:t>
      </w:r>
      <w:r>
        <w:t xml:space="preserve">енно-частного партнерства, 2014. – Свободный доступ в сети Интернет: </w:t>
      </w:r>
      <w:hyperlink r:id="rId12" w:history="1">
        <w:r w:rsidRPr="00B3441A">
          <w:rPr>
            <w:rStyle w:val="a4"/>
          </w:rPr>
          <w:t>http://pppcenter.ru/assets/docs/raytingreg2014.pdf</w:t>
        </w:r>
      </w:hyperlink>
      <w:r>
        <w:t xml:space="preserve"> </w:t>
      </w:r>
    </w:p>
    <w:p w:rsidR="00AA779B" w:rsidRPr="00526610" w:rsidRDefault="00AA779B" w:rsidP="00AA779B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r w:rsidRPr="00526610">
        <w:t>Рейтинг регионов России по уровню развития государственно-частного пар</w:t>
      </w:r>
      <w:r w:rsidRPr="00526610">
        <w:t>т</w:t>
      </w:r>
      <w:r w:rsidRPr="00526610">
        <w:t>нерства. 2014-2015. – М.: Министерство экономического развития РФ, Центр развития государственно-частного партнерства, 2015.</w:t>
      </w:r>
      <w:r>
        <w:t xml:space="preserve"> –  Свободный доступ в сети Интернет: </w:t>
      </w:r>
      <w:hyperlink r:id="rId13" w:history="1">
        <w:r w:rsidRPr="00B3441A">
          <w:rPr>
            <w:rStyle w:val="a4"/>
          </w:rPr>
          <w:t>http://pppcenter.ru/assets/files/raytingREG-Block_26-03-2015_new_edition.pdf</w:t>
        </w:r>
      </w:hyperlink>
      <w:r>
        <w:t xml:space="preserve"> </w:t>
      </w:r>
    </w:p>
    <w:p w:rsidR="006D0D5B" w:rsidRDefault="00AA779B" w:rsidP="004A4A5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r w:rsidRPr="00526610">
        <w:t>Рейтинг регионов России по уровню развития государственно-частного пар</w:t>
      </w:r>
      <w:r w:rsidRPr="00526610">
        <w:t>т</w:t>
      </w:r>
      <w:r>
        <w:t>нерства. 2015-2016</w:t>
      </w:r>
      <w:r w:rsidRPr="00526610">
        <w:t>. – М.: Министерство экономического развития РФ, Центр развития государст</w:t>
      </w:r>
      <w:r>
        <w:t>венно-частного партнерства, 2016</w:t>
      </w:r>
      <w:r w:rsidRPr="00526610">
        <w:t>.</w:t>
      </w:r>
      <w:r>
        <w:t xml:space="preserve">  – Свободный доступ в сети Интернет:</w:t>
      </w:r>
      <w:r w:rsidRPr="00AA779B">
        <w:t xml:space="preserve"> </w:t>
      </w:r>
      <w:hyperlink r:id="rId14" w:history="1">
        <w:r w:rsidRPr="00B3441A">
          <w:rPr>
            <w:rStyle w:val="a4"/>
          </w:rPr>
          <w:t>http://pppcenter.ru/assets/docs/raytingREG2016_B5_Block_04-04-2016.pdf</w:t>
        </w:r>
      </w:hyperlink>
      <w:r>
        <w:t xml:space="preserve"> </w:t>
      </w:r>
    </w:p>
    <w:p w:rsidR="00C84A26" w:rsidRDefault="00C84A26" w:rsidP="00C84A2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r>
        <w:t>Сивакова, С.Ю. Государственно-частное партнерство как форма реализации инвестиционной деятельности</w:t>
      </w:r>
      <w:r w:rsidRPr="00884D4F">
        <w:t xml:space="preserve"> </w:t>
      </w:r>
      <w:r>
        <w:t>в регионе. / С.Ю. Сивакова// Интернет-журнал «НА</w:t>
      </w:r>
      <w:r>
        <w:t>У</w:t>
      </w:r>
      <w:r>
        <w:t xml:space="preserve">КОВЕДЕНИЕ». – 2015. – №2. – </w:t>
      </w:r>
      <w:r>
        <w:rPr>
          <w:lang w:val="en-US"/>
        </w:rPr>
        <w:t>C</w:t>
      </w:r>
      <w:r>
        <w:t>.2.</w:t>
      </w:r>
      <w:r w:rsidRPr="00AD5AB1">
        <w:t xml:space="preserve"> </w:t>
      </w:r>
      <w:r>
        <w:t xml:space="preserve">– Свободный доступ в сети Интернет: </w:t>
      </w:r>
      <w:hyperlink r:id="rId15" w:history="1">
        <w:r w:rsidRPr="008E5BBB">
          <w:rPr>
            <w:rStyle w:val="a4"/>
          </w:rPr>
          <w:t>http://naukovedenie.</w:t>
        </w:r>
        <w:proofErr w:type="spellStart"/>
        <w:r w:rsidRPr="008E5BBB">
          <w:rPr>
            <w:rStyle w:val="a4"/>
            <w:lang w:val="en-US"/>
          </w:rPr>
          <w:t>ru</w:t>
        </w:r>
        <w:proofErr w:type="spellEnd"/>
      </w:hyperlink>
      <w:r w:rsidRPr="00AD5AB1">
        <w:t xml:space="preserve"> </w:t>
      </w:r>
    </w:p>
    <w:p w:rsidR="004373D3" w:rsidRDefault="004373D3" w:rsidP="004373D3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r w:rsidRPr="004373D3">
        <w:t>Список фондов, созданных совместно с Российской венчурной компанией</w:t>
      </w:r>
      <w:r>
        <w:t xml:space="preserve">. – Свободный доступ в сети Интернет: </w:t>
      </w:r>
      <w:hyperlink r:id="rId16" w:history="1">
        <w:r w:rsidRPr="0071271A">
          <w:rPr>
            <w:rStyle w:val="a4"/>
          </w:rPr>
          <w:t>http://www.rusventure.ru/investments/funds/</w:t>
        </w:r>
      </w:hyperlink>
      <w:r>
        <w:t xml:space="preserve"> </w:t>
      </w:r>
    </w:p>
    <w:p w:rsidR="00C84A26" w:rsidRDefault="00C84A26" w:rsidP="00C84A26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line="300" w:lineRule="auto"/>
        <w:ind w:left="0" w:firstLine="709"/>
        <w:jc w:val="both"/>
      </w:pPr>
      <w:r w:rsidRPr="006D1143">
        <w:rPr>
          <w:iCs/>
        </w:rPr>
        <w:t>Тиль</w:t>
      </w:r>
      <w:r>
        <w:rPr>
          <w:iCs/>
        </w:rPr>
        <w:t xml:space="preserve">, П. </w:t>
      </w:r>
      <w:r w:rsidRPr="006D1143">
        <w:t xml:space="preserve">От нуля к единице: Как создать </w:t>
      </w:r>
      <w:proofErr w:type="spellStart"/>
      <w:r w:rsidRPr="006D1143">
        <w:t>стартап</w:t>
      </w:r>
      <w:proofErr w:type="spellEnd"/>
      <w:r w:rsidRPr="006D1143">
        <w:t xml:space="preserve">, </w:t>
      </w:r>
      <w:proofErr w:type="gramStart"/>
      <w:r w:rsidRPr="006D1143">
        <w:t>который</w:t>
      </w:r>
      <w:proofErr w:type="gramEnd"/>
      <w:r w:rsidRPr="006D1143">
        <w:t xml:space="preserve"> изменит буд</w:t>
      </w:r>
      <w:r>
        <w:t xml:space="preserve">ущее. / П. Тиль, Б. Мастерс. – М.: Альпина </w:t>
      </w:r>
      <w:proofErr w:type="spellStart"/>
      <w:r>
        <w:t>Паблишер</w:t>
      </w:r>
      <w:proofErr w:type="spellEnd"/>
      <w:r>
        <w:t xml:space="preserve">, 2015. — 192 </w:t>
      </w:r>
      <w:r w:rsidRPr="006D1143">
        <w:t>с.</w:t>
      </w:r>
    </w:p>
    <w:sectPr w:rsidR="00C84A26" w:rsidSect="00D648C9">
      <w:footerReference w:type="default" r:id="rId1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8EC" w:rsidRDefault="009538EC" w:rsidP="00DD06C0">
      <w:pPr>
        <w:spacing w:after="0" w:line="240" w:lineRule="auto"/>
      </w:pPr>
      <w:r>
        <w:separator/>
      </w:r>
    </w:p>
  </w:endnote>
  <w:endnote w:type="continuationSeparator" w:id="0">
    <w:p w:rsidR="009538EC" w:rsidRDefault="009538EC" w:rsidP="00DD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7014225"/>
      <w:docPartObj>
        <w:docPartGallery w:val="Page Numbers (Bottom of Page)"/>
        <w:docPartUnique/>
      </w:docPartObj>
    </w:sdtPr>
    <w:sdtEndPr/>
    <w:sdtContent>
      <w:p w:rsidR="00641374" w:rsidRDefault="0064137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C2E">
          <w:rPr>
            <w:noProof/>
          </w:rPr>
          <w:t>1</w:t>
        </w:r>
        <w:r>
          <w:fldChar w:fldCharType="end"/>
        </w:r>
      </w:p>
    </w:sdtContent>
  </w:sdt>
  <w:p w:rsidR="00641374" w:rsidRDefault="0064137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8EC" w:rsidRDefault="009538EC" w:rsidP="00DD06C0">
      <w:pPr>
        <w:spacing w:after="0" w:line="240" w:lineRule="auto"/>
      </w:pPr>
      <w:r>
        <w:separator/>
      </w:r>
    </w:p>
  </w:footnote>
  <w:footnote w:type="continuationSeparator" w:id="0">
    <w:p w:rsidR="009538EC" w:rsidRDefault="009538EC" w:rsidP="00DD0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69F8"/>
    <w:multiLevelType w:val="hybridMultilevel"/>
    <w:tmpl w:val="F07C8C06"/>
    <w:lvl w:ilvl="0" w:tplc="F1DE84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7AD8"/>
    <w:multiLevelType w:val="hybridMultilevel"/>
    <w:tmpl w:val="F8EAB6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AA659A"/>
    <w:multiLevelType w:val="hybridMultilevel"/>
    <w:tmpl w:val="B7908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EC0269B"/>
    <w:multiLevelType w:val="hybridMultilevel"/>
    <w:tmpl w:val="DD20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EC6B97"/>
    <w:multiLevelType w:val="hybridMultilevel"/>
    <w:tmpl w:val="FAAE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827FA"/>
    <w:multiLevelType w:val="hybridMultilevel"/>
    <w:tmpl w:val="0FA0B56A"/>
    <w:lvl w:ilvl="0" w:tplc="01FEC7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71261"/>
    <w:multiLevelType w:val="hybridMultilevel"/>
    <w:tmpl w:val="A0F2D7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A1B2092"/>
    <w:multiLevelType w:val="hybridMultilevel"/>
    <w:tmpl w:val="62CEED72"/>
    <w:lvl w:ilvl="0" w:tplc="002010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42"/>
    <w:rsid w:val="000269CE"/>
    <w:rsid w:val="00062946"/>
    <w:rsid w:val="00070407"/>
    <w:rsid w:val="00080779"/>
    <w:rsid w:val="000A68BE"/>
    <w:rsid w:val="000D3C2C"/>
    <w:rsid w:val="00152581"/>
    <w:rsid w:val="00181059"/>
    <w:rsid w:val="001A3227"/>
    <w:rsid w:val="001B41DF"/>
    <w:rsid w:val="001C280A"/>
    <w:rsid w:val="001E2223"/>
    <w:rsid w:val="002510AE"/>
    <w:rsid w:val="002621AC"/>
    <w:rsid w:val="002A3E62"/>
    <w:rsid w:val="002D354E"/>
    <w:rsid w:val="0038169E"/>
    <w:rsid w:val="00383D8D"/>
    <w:rsid w:val="003A63A5"/>
    <w:rsid w:val="003E3402"/>
    <w:rsid w:val="00420445"/>
    <w:rsid w:val="004373D3"/>
    <w:rsid w:val="0045333F"/>
    <w:rsid w:val="00497942"/>
    <w:rsid w:val="004A4A56"/>
    <w:rsid w:val="004B4A44"/>
    <w:rsid w:val="00511994"/>
    <w:rsid w:val="00573D19"/>
    <w:rsid w:val="00575279"/>
    <w:rsid w:val="005760F3"/>
    <w:rsid w:val="005A534B"/>
    <w:rsid w:val="005C76DC"/>
    <w:rsid w:val="00604849"/>
    <w:rsid w:val="0062300C"/>
    <w:rsid w:val="00641374"/>
    <w:rsid w:val="006451C8"/>
    <w:rsid w:val="00646399"/>
    <w:rsid w:val="006575F5"/>
    <w:rsid w:val="00665280"/>
    <w:rsid w:val="006D0D5B"/>
    <w:rsid w:val="006D1143"/>
    <w:rsid w:val="00757C43"/>
    <w:rsid w:val="00774A4C"/>
    <w:rsid w:val="00795436"/>
    <w:rsid w:val="007F5EFA"/>
    <w:rsid w:val="008165F8"/>
    <w:rsid w:val="0087756B"/>
    <w:rsid w:val="00884D4F"/>
    <w:rsid w:val="008A2644"/>
    <w:rsid w:val="009538EC"/>
    <w:rsid w:val="009965AE"/>
    <w:rsid w:val="009C0CA1"/>
    <w:rsid w:val="00A45C2E"/>
    <w:rsid w:val="00AA0A7D"/>
    <w:rsid w:val="00AA779B"/>
    <w:rsid w:val="00AC6DF8"/>
    <w:rsid w:val="00AD5AB1"/>
    <w:rsid w:val="00AE78CD"/>
    <w:rsid w:val="00B6532E"/>
    <w:rsid w:val="00B95BB1"/>
    <w:rsid w:val="00BF4381"/>
    <w:rsid w:val="00C17F7B"/>
    <w:rsid w:val="00C6404D"/>
    <w:rsid w:val="00C84A26"/>
    <w:rsid w:val="00D648C9"/>
    <w:rsid w:val="00DD06C0"/>
    <w:rsid w:val="00DF6B1D"/>
    <w:rsid w:val="00E318BB"/>
    <w:rsid w:val="00E37FE8"/>
    <w:rsid w:val="00E4086C"/>
    <w:rsid w:val="00EA5BD3"/>
    <w:rsid w:val="00F04517"/>
    <w:rsid w:val="00F84099"/>
    <w:rsid w:val="00F92820"/>
    <w:rsid w:val="00FA0129"/>
    <w:rsid w:val="00FA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4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0A7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D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6C0"/>
  </w:style>
  <w:style w:type="paragraph" w:styleId="a8">
    <w:name w:val="footer"/>
    <w:basedOn w:val="a"/>
    <w:link w:val="a9"/>
    <w:uiPriority w:val="99"/>
    <w:unhideWhenUsed/>
    <w:rsid w:val="00DD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6C0"/>
  </w:style>
  <w:style w:type="character" w:styleId="aa">
    <w:name w:val="FollowedHyperlink"/>
    <w:basedOn w:val="a0"/>
    <w:uiPriority w:val="99"/>
    <w:semiHidden/>
    <w:unhideWhenUsed/>
    <w:rsid w:val="006D1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74A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A0A7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D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06C0"/>
  </w:style>
  <w:style w:type="paragraph" w:styleId="a8">
    <w:name w:val="footer"/>
    <w:basedOn w:val="a"/>
    <w:link w:val="a9"/>
    <w:uiPriority w:val="99"/>
    <w:unhideWhenUsed/>
    <w:rsid w:val="00DD06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06C0"/>
  </w:style>
  <w:style w:type="character" w:styleId="aa">
    <w:name w:val="FollowedHyperlink"/>
    <w:basedOn w:val="a0"/>
    <w:uiPriority w:val="99"/>
    <w:semiHidden/>
    <w:unhideWhenUsed/>
    <w:rsid w:val="006D1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ppcenter.ru/assets/files/raytingREG-Block_26-03-2015_new_edition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pppcenter.ru/assets/docs/raytingreg2014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usventure.ru/investments/fund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ppi.ru/sites/default/files/000120150714000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aukovedenie.ru" TargetMode="External"/><Relationship Id="rId10" Type="http://schemas.openxmlformats.org/officeDocument/2006/relationships/hyperlink" Target="https://ru.wikipedia.org/w/index.php?title=%D0%90%D0%BB%D1%8C%D1%8F%D0%BD%D1%81_%D0%A0%D0%9E%D0%A1%D0%9D%D0%9E_%D0%A3%D0%BF%D1%80%D0%B0%D0%B2%D0%BB%D0%B5%D0%BD%D0%B8%D0%B5_%D0%90%D0%BA%D1%82%D0%B8%D0%B2%D0%B0%D0%BC%D0%B8&amp;action=edit&amp;redlink=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/index.php?title=%D0%92%D0%A2%D0%91_%D0%A3%D0%BF%D1%80%D0%B0%D0%B2%D0%BB%D0%B5%D0%BD%D0%B8%D0%B5_%D0%B0%D0%BA%D1%82%D0%B8%D0%B2%D0%B0%D0%BC%D0%B8&amp;action=edit&amp;redlink=1" TargetMode="External"/><Relationship Id="rId14" Type="http://schemas.openxmlformats.org/officeDocument/2006/relationships/hyperlink" Target="http://pppcenter.ru/assets/docs/raytingREG2016_B5_Block_04-04-201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4A1A-8629-463D-B1FA-001ED5372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</TotalTime>
  <Pages>9</Pages>
  <Words>2574</Words>
  <Characters>14676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Metro</cp:lastModifiedBy>
  <cp:revision>25</cp:revision>
  <dcterms:created xsi:type="dcterms:W3CDTF">2017-03-15T09:36:00Z</dcterms:created>
  <dcterms:modified xsi:type="dcterms:W3CDTF">2017-04-12T09:37:00Z</dcterms:modified>
</cp:coreProperties>
</file>