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EBB" w:rsidRDefault="009F4EBB">
      <w:r>
        <w:br w:type="page"/>
      </w:r>
    </w:p>
    <w:p w:rsidR="00203556" w:rsidRDefault="00350E61" w:rsidP="00F73C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E61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sz w:val="28"/>
          <w:szCs w:val="28"/>
        </w:rPr>
        <w:t>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080656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73CEB" w:rsidRPr="00F73CEB" w:rsidRDefault="00F73CEB" w:rsidP="00F73CEB">
          <w:pPr>
            <w:pStyle w:val="ab"/>
            <w:spacing w:before="0"/>
          </w:pPr>
        </w:p>
        <w:p w:rsidR="00F73CEB" w:rsidRPr="00F73CEB" w:rsidRDefault="00F73CEB">
          <w:pPr>
            <w:pStyle w:val="12"/>
            <w:tabs>
              <w:tab w:val="right" w:leader="dot" w:pos="962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73CE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73CE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73CE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16175701" w:history="1">
            <w:r w:rsidRPr="00F73CEB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ВВЕДЕНИЕ</w:t>
            </w:r>
            <w:r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_Toc516175701 \h </w:instrText>
            </w:r>
            <w:r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Pr="00F73CEB" w:rsidRDefault="003E0113" w:rsidP="00F73CEB">
          <w:pPr>
            <w:pStyle w:val="20"/>
            <w:tabs>
              <w:tab w:val="right" w:leader="dot" w:pos="9627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6175702" w:history="1">
            <w:r w:rsidR="00F73CEB" w:rsidRPr="00F73CEB">
              <w:rPr>
                <w:rStyle w:val="ac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1. Общая характеристика предприятия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_Toc516175702 \h </w:instrTex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Pr="00F73CEB" w:rsidRDefault="003E0113">
          <w:pPr>
            <w:pStyle w:val="12"/>
            <w:tabs>
              <w:tab w:val="right" w:leader="dot" w:pos="962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6175703" w:history="1">
            <w:r w:rsidR="00F73CEB" w:rsidRPr="00F73CEB">
              <w:rPr>
                <w:rStyle w:val="ac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2. Организационная структура организации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_Toc516175703 \h </w:instrTex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Pr="00F73CEB" w:rsidRDefault="003E0113">
          <w:pPr>
            <w:pStyle w:val="12"/>
            <w:tabs>
              <w:tab w:val="right" w:leader="dot" w:pos="962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6175704" w:history="1">
            <w:r w:rsidR="00F73CEB" w:rsidRPr="00F73C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F73C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F73CEB" w:rsidRPr="00F73C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Основные результаты деятельности предприятия за 2016-2017 годы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_Toc516175704 \h </w:instrTex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Pr="00F73CEB" w:rsidRDefault="003E0113" w:rsidP="00F73CEB">
          <w:pPr>
            <w:pStyle w:val="30"/>
            <w:tabs>
              <w:tab w:val="right" w:leader="dot" w:pos="9627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6175705" w:history="1">
            <w:r w:rsidR="00F73CEB" w:rsidRPr="00F73CEB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 Анализ инвестиционной деятельности организации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_Toc516175705 \h </w:instrTex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Pr="00F73CEB" w:rsidRDefault="003E0113">
          <w:pPr>
            <w:pStyle w:val="12"/>
            <w:tabs>
              <w:tab w:val="right" w:leader="dot" w:pos="962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6175706" w:history="1">
            <w:r w:rsidR="00F73CEB" w:rsidRPr="00F73CEB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ЗАКЛЮЧЕНИЕ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_Toc516175706 \h </w:instrTex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Pr="00F73CEB" w:rsidRDefault="003E0113">
          <w:pPr>
            <w:pStyle w:val="12"/>
            <w:tabs>
              <w:tab w:val="right" w:leader="dot" w:pos="962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6175707" w:history="1">
            <w:r w:rsidR="00F73CEB" w:rsidRPr="00F73CEB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БИБЛИОГРАФИЧЕСКИЙ СПИСОК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_Toc516175707 \h </w:instrTex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Pr="00F73CEB" w:rsidRDefault="003E0113">
          <w:pPr>
            <w:pStyle w:val="12"/>
            <w:tabs>
              <w:tab w:val="right" w:leader="dot" w:pos="962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6175708" w:history="1">
            <w:r w:rsidR="00F73CEB" w:rsidRPr="00F73CEB">
              <w:rPr>
                <w:rStyle w:val="ac"/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t>ПРИЛОЖЕНИЕ А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_Toc516175708 \h </w:instrTex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Pr="00F73CEB" w:rsidRDefault="003E0113">
          <w:pPr>
            <w:pStyle w:val="12"/>
            <w:tabs>
              <w:tab w:val="right" w:leader="dot" w:pos="962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6175709" w:history="1">
            <w:r w:rsidR="00F73CEB" w:rsidRPr="00F73CEB">
              <w:rPr>
                <w:rStyle w:val="ac"/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t>ПРИЛОЖЕНИЕ Б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_Toc516175709 \h </w:instrTex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Pr="00F73CEB" w:rsidRDefault="003E0113">
          <w:pPr>
            <w:pStyle w:val="12"/>
            <w:tabs>
              <w:tab w:val="right" w:leader="dot" w:pos="962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6175710" w:history="1">
            <w:r w:rsidR="00F73CEB" w:rsidRPr="00F73CEB">
              <w:rPr>
                <w:rStyle w:val="ac"/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t>ПРИЛОЖЕНИЕ В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_Toc516175710 \h </w:instrTex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F73CEB" w:rsidRPr="00F73C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CEB" w:rsidRDefault="00F73CEB">
          <w:r w:rsidRPr="00F73CE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9F4EBB" w:rsidRPr="00350E61" w:rsidRDefault="009F4EBB" w:rsidP="00F73C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4EBB" w:rsidRDefault="009F4EBB">
      <w:r>
        <w:br w:type="page"/>
      </w:r>
    </w:p>
    <w:p w:rsidR="009F4EBB" w:rsidRPr="009F4EBB" w:rsidRDefault="009F4EBB" w:rsidP="009F4EBB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theme="majorBidi"/>
          <w:b/>
          <w:bCs/>
          <w:color w:val="000000" w:themeColor="text1"/>
          <w:sz w:val="28"/>
          <w:szCs w:val="28"/>
          <w:lang w:eastAsia="ru-RU"/>
        </w:rPr>
      </w:pPr>
      <w:bookmarkStart w:id="0" w:name="_Toc495879996"/>
      <w:bookmarkStart w:id="1" w:name="_Toc495887815"/>
      <w:bookmarkStart w:id="2" w:name="_Toc513992656"/>
      <w:bookmarkStart w:id="3" w:name="_Toc514792120"/>
      <w:bookmarkStart w:id="4" w:name="_Toc514792285"/>
      <w:bookmarkStart w:id="5" w:name="_Toc516175701"/>
      <w:r w:rsidRPr="009F4EBB">
        <w:rPr>
          <w:rFonts w:ascii="Times New Roman" w:eastAsia="Times New Roman" w:hAnsi="Times New Roman" w:cstheme="majorBidi"/>
          <w:b/>
          <w:bCs/>
          <w:color w:val="000000" w:themeColor="text1"/>
          <w:sz w:val="28"/>
          <w:szCs w:val="28"/>
          <w:lang w:eastAsia="ru-RU"/>
        </w:rPr>
        <w:lastRenderedPageBreak/>
        <w:t>ВВЕДЕНИЕ</w:t>
      </w:r>
      <w:bookmarkEnd w:id="0"/>
      <w:bookmarkEnd w:id="1"/>
      <w:bookmarkEnd w:id="2"/>
      <w:bookmarkEnd w:id="3"/>
      <w:bookmarkEnd w:id="4"/>
      <w:bookmarkEnd w:id="5"/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bCs/>
          <w:color w:val="000000" w:themeColor="text1"/>
          <w:spacing w:val="-1"/>
          <w:sz w:val="28"/>
          <w:szCs w:val="28"/>
          <w:lang w:eastAsia="ru-RU"/>
        </w:rPr>
        <w:t xml:space="preserve">Анализ деятельности предприятия </w:t>
      </w: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играет важную роль в повышении экономической эффективности деятельности организации, в её управлении, в укреплении её финансового состояния. С помощью этого анализа изучается экономика организаций, их деятельность с точки зрения оценки их работы по выполнению бизнес-планов, оценки их имущественно-финансового состояния и с целью выявления неиспользованных резервов повышения эффективности деятельности организаций.</w:t>
      </w: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vertAlign w:val="superscript"/>
          <w:lang w:eastAsia="ru-RU"/>
        </w:rPr>
        <w:footnoteReference w:id="1"/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 xml:space="preserve">Целью работы является анализ деятельности </w:t>
      </w:r>
      <w:r w:rsidRPr="009F4EBB">
        <w:rPr>
          <w:rFonts w:ascii="Times New Roman" w:eastAsia="Times New Roman" w:hAnsi="Times New Roman" w:cs="Times New Roman"/>
          <w:bCs/>
          <w:color w:val="000000" w:themeColor="text1"/>
          <w:spacing w:val="-1"/>
          <w:sz w:val="28"/>
          <w:szCs w:val="28"/>
          <w:lang w:eastAsia="ru-RU"/>
        </w:rPr>
        <w:t>АО «Краснохолмское ДРСУ».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Задачи практической работы: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1) Дать общую характеристику предприятия;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2) Описать производственную структуру организации;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3) Дать характеристику документообороту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4) Провести оценку рабочих мест на предприятии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5) Представить анализ основных результатов рабочей деятельности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6) Проанализировать должностные инструкции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 xml:space="preserve">Объект исследования: </w:t>
      </w:r>
      <w:r w:rsidRPr="009F4EBB">
        <w:rPr>
          <w:rFonts w:ascii="Times New Roman" w:eastAsia="Times New Roman" w:hAnsi="Times New Roman" w:cs="Times New Roman"/>
          <w:bCs/>
          <w:color w:val="000000" w:themeColor="text1"/>
          <w:spacing w:val="-1"/>
          <w:sz w:val="28"/>
          <w:szCs w:val="28"/>
          <w:lang w:eastAsia="ru-RU"/>
        </w:rPr>
        <w:t>АО «Краснохолмское ДРСУ»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hAnsi="Times New Roman"/>
          <w:color w:val="000000"/>
          <w:sz w:val="28"/>
          <w:szCs w:val="28"/>
        </w:rPr>
        <w:t>Предметом исследования является деятельность АО «Краснохолмское ДРСУ».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Методы исследования: сравнительный анализ, изучение и анализ документации, архивных источников и т. д.</w:t>
      </w:r>
    </w:p>
    <w:p w:rsidR="009F4EBB" w:rsidRPr="009F4EBB" w:rsidRDefault="009F4EBB" w:rsidP="009F4EB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</w:pPr>
      <w:r w:rsidRPr="009F4EBB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Информационная база: все данные для анализа предприятия взяты из бухгалтерской и иной отчетности организации за 2016-2017 годы.</w:t>
      </w:r>
    </w:p>
    <w:p w:rsidR="009F4EBB" w:rsidRDefault="009F4EBB">
      <w:r>
        <w:br w:type="page"/>
      </w:r>
    </w:p>
    <w:p w:rsidR="009F4EBB" w:rsidRPr="009F4EBB" w:rsidRDefault="009F4EBB" w:rsidP="009F4EBB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Theme="majorEastAsia" w:hAnsi="Times New Roman" w:cstheme="majorBidi"/>
          <w:b/>
          <w:sz w:val="28"/>
          <w:szCs w:val="26"/>
        </w:rPr>
      </w:pPr>
      <w:bookmarkStart w:id="6" w:name="_Toc503232863"/>
      <w:bookmarkStart w:id="7" w:name="_Toc516175702"/>
      <w:r w:rsidRPr="009F4EBB">
        <w:rPr>
          <w:rFonts w:ascii="Times New Roman" w:eastAsiaTheme="majorEastAsia" w:hAnsi="Times New Roman" w:cstheme="majorBidi"/>
          <w:b/>
          <w:sz w:val="28"/>
          <w:szCs w:val="26"/>
        </w:rPr>
        <w:lastRenderedPageBreak/>
        <w:t>1. Общая характеристика предприятия</w:t>
      </w:r>
      <w:bookmarkEnd w:id="6"/>
      <w:bookmarkEnd w:id="7"/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В 60-е годы дороги различных категорий, проходящие по территории района, обслуживались несколькими дорожными организациями. Средним и капитальным ремонтом дорог областного и республиканского значения занимались ДУ-775 и ДСУ-3. В 1990 году на базе ДСУ-3 и местного дорожного участка было создано Краснохолмское ДРСУ. В настоящее время организация называется АО «Краснохолмское ДРСУ»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Акционерное общество «Краснохолмское дорожное ремонтно-строительное управление» осуществляет свою деятельность на основании устава зарегистрированного в соответствии с Распоряжением министерства имущественных и земельных отношений Тверской области № 501 от 19 мая  2016 года. Учредителем Общества с долей участия 100% является Тверская область в лице Министерства имущественных и земельных отношений Тверской области.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 xml:space="preserve">Уставный капитал общества составляет 20 475 000 (двадцать миллионов четыреста семьдесят пять тысяч) рублей и состоит из 204750 обыкновенных именных бездокументарных акций номинальной стоимостью 100 рублей каждая. 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АО «Краснохолмское ДРСУ» зарегистрировано по месту нахождения его постоянно действующего исполнительного органа: 171660 Тверская область, город Красный Холм, переулок Широкий дом 15.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 xml:space="preserve"> Согласно устава основными целями деятельности общества является удовлетворение общественных потребностей в результатах его деятельности, получение прибыли. Основными видами деятельности организации являются: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содержание и эксплуатация автомобильных дорог;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выполнение строительных работ;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выполнение работ по добыче и переработке строительных материалов;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производство строительных материалов;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оказание автотранспортных услуг и услуг дорожной техники.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Основными заказчиками работ и услуг являются: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lastRenderedPageBreak/>
        <w:t>- ООО «Бежецкая дорожная компания»;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Администрация Каснохолмского района;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«Сандовское ДРСУ»;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АО «Молоковское ДРСУ»;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Администрация Барбинского сельского поселения;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Администрация Лихачевского сельского поселения;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Администрация Глебенского сельского поселения;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Основными поставщиками материалов и услуг являются: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«Верхневолжская компания» (битум, мазут, битумная эмульсия);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«Угличский речной порт» (щебень)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«ТД Нефтерегион» (дизельное топливо);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«Евротрейд» (концентрат минеральный галит);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«Дорснаб» (минеральный порошок);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ОП «ТверьАтомЭнергоСбыт» (электроэнергия)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«ЗапЧастьАвто» (запчасти);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«ТверьКамазЦентр» (запчасти).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Основные конкуренты: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АО «Санковское ДРСУ»;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АО «Молоковское ДРСУ»;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«Сандовское ДРСУ»;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ООО «ДСУ-77»;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На предприятии используется общая система налогообложения. Разработана учетная политика для целей бухгалтерского и налогового учета. Ведение учета и формирование отчетных данных осуществляется с использованием программы «1С бухгалтерия». Так как предприятие является акционерным обществом со 100% долей участия государства, оно проходит обязательный ежегодный аудит и размещает сведения о стоимости чистых активов в едином федеральном реестре юридических лиц.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lastRenderedPageBreak/>
        <w:t>Протяженность обслуживаемой сети дорог составляет до 700 км. Сюда входят дороги областного и республиканского значения (1-2 класса), районного значения (3-го класса) и межпоселенческие дороги.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Расшифровка сети обслуживаемых дорог АО «Краснохолмское ДРСУ»: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Дороги 1 класса  протяженность -65,1 км  в т. ч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-Тверь-Бежецк-Весьегонск-Устюжна -45,5 км;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-Красный холм-Молоково-Сандово -4,1 км;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-Сонково-Молоково -15,5км.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Все с асфальтобетонным покрытием.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Дороги 2 клас</w:t>
      </w:r>
      <w:r w:rsidR="008616E2">
        <w:rPr>
          <w:rFonts w:ascii="Times New Roman" w:hAnsi="Times New Roman" w:cs="Times New Roman"/>
          <w:sz w:val="28"/>
          <w:szCs w:val="28"/>
        </w:rPr>
        <w:t>са всего-168,5 км</w:t>
      </w:r>
      <w:r w:rsidRPr="009F4EBB">
        <w:rPr>
          <w:rFonts w:ascii="Times New Roman" w:hAnsi="Times New Roman" w:cs="Times New Roman"/>
          <w:sz w:val="28"/>
          <w:szCs w:val="28"/>
        </w:rPr>
        <w:t xml:space="preserve">, в т.ч. 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с асфальтобетонным покрытием -85,9 км;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с гравийным покрытием -82,6 км.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 xml:space="preserve">Дороги 3 класса всего -112,9 км в т.ч. 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 с асфальтобетонным покрытием -43,1 км;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-с гравийным покрытием – 69,8 км.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Дороги сельских поселений с гравийным покрытием всего – 69,6 км в т.ч.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-Барбинс</w:t>
      </w:r>
      <w:r w:rsidR="008616E2">
        <w:rPr>
          <w:rFonts w:ascii="Times New Roman" w:hAnsi="Times New Roman" w:cs="Times New Roman"/>
          <w:sz w:val="28"/>
          <w:szCs w:val="28"/>
        </w:rPr>
        <w:t>кое сельское поселение -30,9 км</w:t>
      </w:r>
      <w:r w:rsidRPr="009F4EBB">
        <w:rPr>
          <w:rFonts w:ascii="Times New Roman" w:hAnsi="Times New Roman" w:cs="Times New Roman"/>
          <w:sz w:val="28"/>
          <w:szCs w:val="28"/>
        </w:rPr>
        <w:t>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-Лихачевское сельское поселение-10,5 км;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-Глебенское сельское поселение -28,2 км.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Дороги города Красный Холм с асфальтобетонным покрытием -9,16 км.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Межпоселенческие дороги с гравийным покрытием -27,6 км</w:t>
      </w:r>
    </w:p>
    <w:p w:rsidR="009F4EBB" w:rsidRPr="009F4EBB" w:rsidRDefault="008616E2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дороги -686,46 км</w:t>
      </w:r>
      <w:r w:rsidR="009F4EBB" w:rsidRPr="009F4EBB">
        <w:rPr>
          <w:rFonts w:ascii="Times New Roman" w:hAnsi="Times New Roman" w:cs="Times New Roman"/>
          <w:sz w:val="28"/>
          <w:szCs w:val="28"/>
        </w:rPr>
        <w:t>, в т.ч.: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-с асфал</w:t>
      </w:r>
      <w:r w:rsidR="008616E2">
        <w:rPr>
          <w:rFonts w:ascii="Times New Roman" w:hAnsi="Times New Roman" w:cs="Times New Roman"/>
          <w:sz w:val="28"/>
          <w:szCs w:val="28"/>
        </w:rPr>
        <w:t>ьтобетонным покрытием-354,26 км</w:t>
      </w:r>
      <w:r w:rsidRPr="009F4EBB">
        <w:rPr>
          <w:rFonts w:ascii="Times New Roman" w:hAnsi="Times New Roman" w:cs="Times New Roman"/>
          <w:sz w:val="28"/>
          <w:szCs w:val="28"/>
        </w:rPr>
        <w:t>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-с гравийным покрытием -332,2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Территория организации составляет 47,1 га., на которой расположены административное здание, гаражи, котельная, асфальтобетонный завод, материальный склад, заправочная станция, площадка для хранения материалов (песок, песчано-соляная смесь, гравий).</w:t>
      </w:r>
    </w:p>
    <w:p w:rsid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16D">
        <w:rPr>
          <w:rFonts w:ascii="Times New Roman" w:hAnsi="Times New Roman" w:cs="Times New Roman"/>
          <w:sz w:val="28"/>
          <w:szCs w:val="28"/>
        </w:rPr>
        <w:lastRenderedPageBreak/>
        <w:t>Среднесписочная численность рабочих составляет 53 человека, в том числе административно-управленческий персонал – 13 человек, основной производственный персонал – 38 человек, обслуживающий персонал – 2 человека.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4EBB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Предприятие арендует у Тверской области 2 карьера, находящихся на территории Краснохолмского района для добычи песка и песчано-гравийной смеси, добыча производится на основании лицензий.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4E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поставщика услуг имеет регистрацию на электронных торговых площадках «Сбербанк АСТ» и </w:t>
      </w:r>
      <w:r w:rsidRPr="009F4E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ot</w:t>
      </w:r>
      <w:r w:rsidRPr="009F4EB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F4E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tender</w:t>
      </w:r>
      <w:r w:rsidRPr="009F4EB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F4EBB" w:rsidRDefault="009F4EBB">
      <w:r>
        <w:br w:type="page"/>
      </w:r>
    </w:p>
    <w:p w:rsidR="009F4EBB" w:rsidRPr="009F4EBB" w:rsidRDefault="009F4EBB" w:rsidP="009F4EBB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</w:rPr>
      </w:pPr>
      <w:bookmarkStart w:id="8" w:name="_Toc516175703"/>
      <w:r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</w:rPr>
        <w:lastRenderedPageBreak/>
        <w:t xml:space="preserve">2. Организационная </w:t>
      </w:r>
      <w:r w:rsidRPr="009F4EBB"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</w:rPr>
        <w:t>структура организации</w:t>
      </w:r>
      <w:bookmarkEnd w:id="8"/>
    </w:p>
    <w:p w:rsidR="009F4EBB" w:rsidRPr="009F4EBB" w:rsidRDefault="009F4EBB" w:rsidP="009F4EB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 xml:space="preserve">Схематично </w:t>
      </w:r>
      <w:r>
        <w:rPr>
          <w:rFonts w:ascii="Times New Roman" w:hAnsi="Times New Roman"/>
          <w:color w:val="000000" w:themeColor="text1"/>
          <w:sz w:val="28"/>
        </w:rPr>
        <w:t xml:space="preserve">организационная </w:t>
      </w:r>
      <w:r w:rsidRPr="009F4EBB">
        <w:rPr>
          <w:rFonts w:ascii="Times New Roman" w:hAnsi="Times New Roman"/>
          <w:color w:val="000000" w:themeColor="text1"/>
          <w:sz w:val="28"/>
        </w:rPr>
        <w:t>структура АО «Краснохолмское ДРСУ» представлена следующей на рисунке 1</w:t>
      </w:r>
    </w:p>
    <w:p w:rsidR="009F4EBB" w:rsidRDefault="009F4EBB" w:rsidP="009F4EB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noProof/>
          <w:color w:val="000000" w:themeColor="text1"/>
          <w:sz w:val="28"/>
          <w:lang w:eastAsia="ru-RU"/>
        </w:rPr>
        <mc:AlternateContent>
          <mc:Choice Requires="wpc">
            <w:drawing>
              <wp:inline distT="0" distB="0" distL="0" distR="0" wp14:anchorId="0ADFDBB3" wp14:editId="48FC1BB9">
                <wp:extent cx="6122670" cy="6273579"/>
                <wp:effectExtent l="0" t="0" r="0" b="0"/>
                <wp:docPr id="14" name="Полотно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" name="Блок-схема: процесс 15"/>
                        <wps:cNvSpPr/>
                        <wps:spPr>
                          <a:xfrm>
                            <a:off x="2190750" y="256965"/>
                            <a:ext cx="1990725" cy="352583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</w:pPr>
                              <w:r>
                                <w:t>Генеральный директор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Блок-схема: процесс 16"/>
                        <wps:cNvSpPr/>
                        <wps:spPr>
                          <a:xfrm>
                            <a:off x="1385316" y="951036"/>
                            <a:ext cx="1000125" cy="39052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</w:pPr>
                              <w:r>
                                <w:t>Секретарь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Блок-схема: процесс 17"/>
                        <wps:cNvSpPr/>
                        <wps:spPr>
                          <a:xfrm>
                            <a:off x="66674" y="2037686"/>
                            <a:ext cx="1609726" cy="352757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</w:pPr>
                              <w:r>
                                <w:t>Главный инженер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Блок-схема: процесс 18"/>
                        <wps:cNvSpPr/>
                        <wps:spPr>
                          <a:xfrm>
                            <a:off x="2126818" y="2023069"/>
                            <a:ext cx="1762125" cy="380289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</w:pPr>
                              <w:r>
                                <w:t>Главный бухгалтер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Блок-схема: процесс 19"/>
                        <wps:cNvSpPr/>
                        <wps:spPr>
                          <a:xfrm>
                            <a:off x="4212259" y="2037518"/>
                            <a:ext cx="1654530" cy="38027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</w:pPr>
                              <w:r>
                                <w:t>Главный механик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Соединительная линия уступом 41"/>
                        <wps:cNvCnPr>
                          <a:stCxn id="15" idx="2"/>
                          <a:endCxn id="16" idx="3"/>
                        </wps:cNvCnPr>
                        <wps:spPr>
                          <a:xfrm rot="5400000">
                            <a:off x="2517424" y="477515"/>
                            <a:ext cx="536707" cy="800672"/>
                          </a:xfrm>
                          <a:prstGeom prst="bentConnector2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3" name="Прямая соединительная линия 43"/>
                        <wps:cNvCnPr/>
                        <wps:spPr>
                          <a:xfrm>
                            <a:off x="3186081" y="1133762"/>
                            <a:ext cx="0" cy="88914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4" name="Соединительная линия уступом 44"/>
                        <wps:cNvCnPr>
                          <a:endCxn id="17" idx="0"/>
                        </wps:cNvCnPr>
                        <wps:spPr>
                          <a:xfrm rot="10800000" flipV="1">
                            <a:off x="871537" y="1682356"/>
                            <a:ext cx="2314544" cy="355161"/>
                          </a:xfrm>
                          <a:prstGeom prst="bentConnector2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Соединительная линия уступом 45"/>
                        <wps:cNvCnPr>
                          <a:endCxn id="19" idx="0"/>
                        </wps:cNvCnPr>
                        <wps:spPr>
                          <a:xfrm>
                            <a:off x="3196742" y="1682078"/>
                            <a:ext cx="1842782" cy="355272"/>
                          </a:xfrm>
                          <a:prstGeom prst="bentConnector2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6" name="Блок-схема: процесс 46"/>
                        <wps:cNvSpPr/>
                        <wps:spPr>
                          <a:xfrm>
                            <a:off x="58521" y="2704944"/>
                            <a:ext cx="1046073" cy="57226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 xml:space="preserve">Начальник </w:t>
                              </w:r>
                            </w:p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ОИПП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Блок-схема: процесс 47"/>
                        <wps:cNvSpPr/>
                        <wps:spPr>
                          <a:xfrm>
                            <a:off x="66674" y="3437576"/>
                            <a:ext cx="1037920" cy="519379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Инженер-геодезист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Блок-схема: процесс 48"/>
                        <wps:cNvSpPr/>
                        <wps:spPr>
                          <a:xfrm>
                            <a:off x="66674" y="4066246"/>
                            <a:ext cx="1045236" cy="51307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Прораб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Соединительная линия уступом 49"/>
                        <wps:cNvCnPr>
                          <a:endCxn id="46" idx="3"/>
                        </wps:cNvCnPr>
                        <wps:spPr>
                          <a:xfrm rot="5400000">
                            <a:off x="979009" y="2528745"/>
                            <a:ext cx="587671" cy="336500"/>
                          </a:xfrm>
                          <a:prstGeom prst="bentConnector2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0" name="Соединительная линия уступом 50"/>
                        <wps:cNvCnPr>
                          <a:endCxn id="47" idx="3"/>
                        </wps:cNvCnPr>
                        <wps:spPr>
                          <a:xfrm rot="5400000">
                            <a:off x="625938" y="2881817"/>
                            <a:ext cx="1293800" cy="336487"/>
                          </a:xfrm>
                          <a:prstGeom prst="bentConnector2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1" name="Соединительная линия уступом 51"/>
                        <wps:cNvCnPr>
                          <a:endCxn id="48" idx="3"/>
                        </wps:cNvCnPr>
                        <wps:spPr>
                          <a:xfrm rot="5400000">
                            <a:off x="327745" y="3201760"/>
                            <a:ext cx="1904831" cy="336499"/>
                          </a:xfrm>
                          <a:prstGeom prst="bentConnector2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2" name="Блок-схема: процесс 52"/>
                        <wps:cNvSpPr/>
                        <wps:spPr>
                          <a:xfrm>
                            <a:off x="66674" y="4825189"/>
                            <a:ext cx="1037934" cy="52955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Мастер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ая соединительная линия 54"/>
                        <wps:cNvCnPr>
                          <a:stCxn id="52" idx="0"/>
                          <a:endCxn id="48" idx="2"/>
                        </wps:cNvCnPr>
                        <wps:spPr>
                          <a:xfrm flipV="1">
                            <a:off x="585641" y="4579316"/>
                            <a:ext cx="3651" cy="245873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5" name="Блок-схема: процесс 55"/>
                        <wps:cNvSpPr/>
                        <wps:spPr>
                          <a:xfrm>
                            <a:off x="66689" y="5533694"/>
                            <a:ext cx="1045236" cy="530063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Дорожный участок</w:t>
                              </w:r>
                            </w:p>
                            <w:p w:rsidR="008616E2" w:rsidRDefault="008616E2" w:rsidP="009F4E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ая соединительная линия 57"/>
                        <wps:cNvCnPr>
                          <a:stCxn id="55" idx="0"/>
                          <a:endCxn id="52" idx="2"/>
                        </wps:cNvCnPr>
                        <wps:spPr>
                          <a:xfrm flipH="1" flipV="1">
                            <a:off x="585641" y="5354745"/>
                            <a:ext cx="3666" cy="178949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8" name="Блок-схема: процесс 58"/>
                        <wps:cNvSpPr/>
                        <wps:spPr>
                          <a:xfrm>
                            <a:off x="2115048" y="2703830"/>
                            <a:ext cx="1765190" cy="349471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Бухгалтер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ая соединительная линия 59"/>
                        <wps:cNvCnPr/>
                        <wps:spPr>
                          <a:xfrm>
                            <a:off x="3196742" y="2402962"/>
                            <a:ext cx="0" cy="30064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0" name="Блок-схема: процесс 60"/>
                        <wps:cNvSpPr/>
                        <wps:spPr>
                          <a:xfrm>
                            <a:off x="2083243" y="5550011"/>
                            <a:ext cx="1773895" cy="51274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Материальный склад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Блок-схема: процесс 62"/>
                        <wps:cNvSpPr/>
                        <wps:spPr>
                          <a:xfrm>
                            <a:off x="4230094" y="3410829"/>
                            <a:ext cx="1288111" cy="350138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Механик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Блок-схема: процесс 63"/>
                        <wps:cNvSpPr/>
                        <wps:spPr>
                          <a:xfrm>
                            <a:off x="4222143" y="2689750"/>
                            <a:ext cx="1296062" cy="50940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Инженер-диспетчер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Соединительная линия уступом 67"/>
                        <wps:cNvCnPr>
                          <a:endCxn id="63" idx="3"/>
                        </wps:cNvCnPr>
                        <wps:spPr>
                          <a:xfrm rot="5400000">
                            <a:off x="5330298" y="2605224"/>
                            <a:ext cx="526891" cy="151075"/>
                          </a:xfrm>
                          <a:prstGeom prst="bentConnector2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8" name="Соединительная линия уступом 68"/>
                        <wps:cNvCnPr>
                          <a:endCxn id="62" idx="3"/>
                        </wps:cNvCnPr>
                        <wps:spPr>
                          <a:xfrm rot="5400000">
                            <a:off x="5009736" y="2926063"/>
                            <a:ext cx="1168009" cy="151070"/>
                          </a:xfrm>
                          <a:prstGeom prst="bentConnector2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9" name="Блок-схема: процесс 69"/>
                        <wps:cNvSpPr/>
                        <wps:spPr>
                          <a:xfrm>
                            <a:off x="4261900" y="5532325"/>
                            <a:ext cx="1240403" cy="529932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16E2" w:rsidRDefault="008616E2" w:rsidP="009F4E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Ремонтные мастерские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рямая соединительная линия 70"/>
                        <wps:cNvCnPr/>
                        <wps:spPr>
                          <a:xfrm>
                            <a:off x="3196742" y="3052293"/>
                            <a:ext cx="0" cy="249726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71" name="Прямая соединительная линия 71"/>
                        <wps:cNvCnPr>
                          <a:stCxn id="62" idx="2"/>
                          <a:endCxn id="69" idx="0"/>
                        </wps:cNvCnPr>
                        <wps:spPr>
                          <a:xfrm>
                            <a:off x="4874150" y="3760967"/>
                            <a:ext cx="7952" cy="1771358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ADFDBB3" id="Полотно 14" o:spid="_x0000_s1026" editas="canvas" style="width:482.1pt;height:494pt;mso-position-horizontal-relative:char;mso-position-vertical-relative:line" coordsize="61226,6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26;height:62731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15" o:spid="_x0000_s1028" type="#_x0000_t109" style="position:absolute;left:21907;top:2569;width:19907;height: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DQsAA&#10;AADbAAAADwAAAGRycy9kb3ducmV2LnhtbERPS4vCMBC+L/gfwgje1tR1FalGEUVZ8eTj4m1oxrbY&#10;TLpJ1PrvjSB4m4/vOZNZYypxI+dLywp63QQEcWZ1ybmC42H1PQLhA7LGyjIpeJCH2bT1NcFU2zvv&#10;6LYPuYgh7FNUUIRQp1L6rCCDvmtr4sidrTMYInS51A7vMdxU8idJhtJgybGhwJoWBWWX/dUocMcH&#10;/64rXgxX/+flqc/b/mCzVarTbuZjEIGa8BG/3X86zh/A65d4gJ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QDQsAAAADbAAAADwAAAAAAAAAAAAAAAACYAgAAZHJzL2Rvd25y&#10;ZXYueG1sUEsFBgAAAAAEAAQA9QAAAIUDAAAAAA=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</w:pPr>
                        <w:r>
                          <w:t>Генеральный директор</w:t>
                        </w:r>
                      </w:p>
                    </w:txbxContent>
                  </v:textbox>
                </v:shape>
                <v:shape id="Блок-схема: процесс 16" o:spid="_x0000_s1029" type="#_x0000_t109" style="position:absolute;left:13853;top:9510;width:1000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dNcAA&#10;AADbAAAADwAAAGRycy9kb3ducmV2LnhtbERPTYvCMBC9L/gfwgje1lTdLVKNIoqieFr14m1oxrbY&#10;TGoStf77jbCwt3m8z5nOW1OLBzlfWVYw6CcgiHOrKy4UnI7rzzEIH5A11pZJwYs8zGedjylm2j75&#10;hx6HUIgYwj5DBWUITSalz0sy6Pu2IY7cxTqDIUJXSO3wGcNNLYdJkkqDFceGEhtalpRfD3ejwJ1e&#10;/LWpeZmub5fVecT70fdur1Sv2y4mIAK14V/8597qOD+F9y/xAD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adNcAAAADbAAAADwAAAAAAAAAAAAAAAACYAgAAZHJzL2Rvd25y&#10;ZXYueG1sUEsFBgAAAAAEAAQA9QAAAIUDAAAAAA=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</w:pPr>
                        <w:r>
                          <w:t>Секретарь</w:t>
                        </w:r>
                      </w:p>
                    </w:txbxContent>
                  </v:textbox>
                </v:shape>
                <v:shape id="Блок-схема: процесс 17" o:spid="_x0000_s1030" type="#_x0000_t109" style="position:absolute;left:666;top:20376;width:16098;height:3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4rsIA&#10;AADbAAAADwAAAGRycy9kb3ducmV2LnhtbERPTWvCQBC9F/wPywi9NRu1VYmuQVIsLZ5qc/E2ZMck&#10;mJ1Nd7ca/323UPA2j/c563wwnbiQ861lBZMkBUFcWd1yraD82j0tQfiArLGzTApu5CHfjB7WmGl7&#10;5U+6HEItYgj7DBU0IfSZlL5qyKBPbE8cuZN1BkOErpba4TWGm05O03QuDbYcGxrsqWioOh9+jAJX&#10;3vj5reNivvs+vR5nvJ+9fOyVehwP2xWIQEO4i//d7zrOX8DfL/E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jiuwgAAANsAAAAPAAAAAAAAAAAAAAAAAJgCAABkcnMvZG93&#10;bnJldi54bWxQSwUGAAAAAAQABAD1AAAAhwMAAAAA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</w:pPr>
                        <w:r>
                          <w:t>Главный инженер</w:t>
                        </w:r>
                      </w:p>
                    </w:txbxContent>
                  </v:textbox>
                </v:shape>
                <v:shape id="Блок-схема: процесс 18" o:spid="_x0000_s1031" type="#_x0000_t109" style="position:absolute;left:21268;top:20230;width:17621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s3MQA&#10;AADbAAAADwAAAGRycy9kb3ducmV2LnhtbESPS2/CMBCE70j9D9ZW6g2c8hJKMagCgag48bj0toqX&#10;JGq8Tm0Xwr9nD5W47WpmZ76dLzvXqCuFWHs28D7IQBEX3tZcGjifNv0ZqJiQLTaeycCdIiwXL705&#10;5tbf+EDXYyqVhHDM0UCVUptrHYuKHMaBb4lFu/jgMMkaSm0D3iTcNXqYZVPtsGZpqLClVUXFz/HP&#10;GQjnO4+3Da+mm9/L+nvE+9Hka2/M22v3+QEqUZee5v/rnRV8gZVfZA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1rNzEAAAA2wAAAA8AAAAAAAAAAAAAAAAAmAIAAGRycy9k&#10;b3ducmV2LnhtbFBLBQYAAAAABAAEAPUAAACJAwAAAAA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</w:pPr>
                        <w:r>
                          <w:t>Главный бухгалтер</w:t>
                        </w:r>
                      </w:p>
                    </w:txbxContent>
                  </v:textbox>
                </v:shape>
                <v:shape id="Блок-схема: процесс 19" o:spid="_x0000_s1032" type="#_x0000_t109" style="position:absolute;left:42122;top:20375;width:16545;height:38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kJR8IA&#10;AADbAAAADwAAAGRycy9kb3ducmV2LnhtbERPTWvCQBC9F/wPywi9NRu1FY2uQVIsLZ5qc/E2ZMck&#10;mJ1Nd7ca/323UPA2j/c563wwnbiQ861lBZMkBUFcWd1yraD82j0tQPiArLGzTApu5CHfjB7WmGl7&#10;5U+6HEItYgj7DBU0IfSZlL5qyKBPbE8cuZN1BkOErpba4TWGm05O03QuDbYcGxrsqWioOh9+jAJX&#10;3vj5reNivvs+vR5nvJ+9fOyVehwP2xWIQEO4i//d7zrOX8LfL/E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QlHwgAAANsAAAAPAAAAAAAAAAAAAAAAAJgCAABkcnMvZG93&#10;bnJldi54bWxQSwUGAAAAAAQABAD1AAAAhwMAAAAA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</w:pPr>
                        <w:r>
                          <w:t>Главный механик</w:t>
                        </w:r>
                      </w:p>
                    </w:txbxContent>
                  </v:textbox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Соединительная линия уступом 41" o:spid="_x0000_s1033" type="#_x0000_t33" style="position:absolute;left:25174;top:4774;width:5368;height:800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vUA8QAAADbAAAADwAAAGRycy9kb3ducmV2LnhtbESPT2vCQBTE7wW/w/IEb3WjliLRVSQg&#10;FU/1D4K3R/YlG82+DdltTPvpu4WCx2FmfsMs172tRUetrxwrmIwTEMS50xWXCs6n7eschA/IGmvH&#10;pOCbPKxXg5clpto9+EDdMZQiQtinqMCE0KRS+tyQRT92DXH0CtdaDFG2pdQtPiLc1nKaJO/SYsVx&#10;wWBDmaH8fvyyCorb5+zDHMJPlp+TLiv2twtfT0qNhv1mASJQH57h//ZOK3ibwN+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m9QDxAAAANsAAAAPAAAAAAAAAAAA&#10;AAAAAKECAABkcnMvZG93bnJldi54bWxQSwUGAAAAAAQABAD5AAAAkgMAAAAA&#10;" strokecolor="windowText" strokeweight="2pt">
                  <v:shadow on="t" color="black" opacity="24903f" origin=",.5" offset="0,.55556mm"/>
                </v:shape>
                <v:line id="Прямая соединительная линия 43" o:spid="_x0000_s1034" style="position:absolute;visibility:visible;mso-wrap-style:square" from="31860,11337" to="31860,2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nzSMUAAADbAAAADwAAAGRycy9kb3ducmV2LnhtbESP3WoCMRSE7wXfIRyhd27WKrVszYoI&#10;QikI1Vro5XFz9geTk2WTuluf3hQKvRxm5htmtR6sEVfqfONYwSxJQRAXTjdcKTh97KbPIHxA1mgc&#10;k4If8rDOx6MVZtr1fKDrMVQiQthnqKAOoc2k9EVNFn3iWuLola6zGKLsKqk77CPcGvmYpk/SYsNx&#10;ocaWtjUVl+O3VdB/ng9NavZlYDcvzsu33df7zSj1MBk2LyACDeE//Nd+1QoWc/j9En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nzSM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shape id="Соединительная линия уступом 44" o:spid="_x0000_s1035" type="#_x0000_t33" style="position:absolute;left:8715;top:16823;width:23145;height:3552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mEtsQAAADbAAAADwAAAGRycy9kb3ducmV2LnhtbESPQWvCQBSE7wX/w/IEb3WjpEWiq4gg&#10;FIoHU4seH7vPJJp9G7Orif++Wyj0OMzMN8xi1dtaPKj1lWMFk3ECglg7U3Gh4PC1fZ2B8AHZYO2Y&#10;FDzJw2o5eFlgZlzHe3rkoRARwj5DBWUITSal1yVZ9GPXEEfv7FqLIcq2kKbFLsJtLadJ8i4tVhwX&#10;SmxoU5K+5nerQN9vRr9t8tv38SCnl09fnNJdp9Ro2K/nIAL14T/81/4wCtIUfr/EH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YS2xAAAANsAAAAPAAAAAAAAAAAA&#10;AAAAAKECAABkcnMvZG93bnJldi54bWxQSwUGAAAAAAQABAD5AAAAkgMAAAAA&#10;" strokecolor="windowText" strokeweight="2pt">
                  <v:shadow on="t" color="black" opacity="24903f" origin=",.5" offset="0,.55556mm"/>
                </v:shape>
                <v:shape id="Соединительная линия уступом 45" o:spid="_x0000_s1036" type="#_x0000_t33" style="position:absolute;left:31967;top:16820;width:18428;height:355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v35MMAAADbAAAADwAAAGRycy9kb3ducmV2LnhtbESPQWvCQBSE7wX/w/KE3sym0mqJ2QRR&#10;Au1BRFPvz+wzCc2+Ddmtxn/vFgo9DjPzDZPmo+nElQbXWlbwEsUgiCurW64VfJXF7B2E88gaO8uk&#10;4E4O8mzylGKi7Y0PdD36WgQIuwQVNN73iZSuasigi2xPHLyLHQz6IIda6gFvAW46OY/jhTTYclho&#10;sKdNQ9X38cco0OW2qJ0/632//GSz390reWqVep6O6xUIT6P/D/+1P7SC1zf4/RJ+gM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b9+TDAAAA2wAAAA8AAAAAAAAAAAAA&#10;AAAAoQIAAGRycy9kb3ducmV2LnhtbFBLBQYAAAAABAAEAPkAAACRAwAAAAA=&#10;" strokecolor="windowText" strokeweight="2pt">
                  <v:shadow on="t" color="black" opacity="24903f" origin=",.5" offset="0,.55556mm"/>
                </v:shape>
                <v:shape id="Блок-схема: процесс 46" o:spid="_x0000_s1037" type="#_x0000_t109" style="position:absolute;left:585;top:27049;width:10460;height:5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yKMUA&#10;AADbAAAADwAAAGRycy9kb3ducmV2LnhtbESPzWrDMBCE74W8g9hAb42cJjXFtRyCi0tDTvm59LZY&#10;G9vUWrmSmjhvXwUKOQ4z8w2Tr0bTizM531lWMJ8lIIhrqztuFBwP1dMrCB+QNfaWScGVPKyKyUOO&#10;mbYX3tF5HxoRIewzVNCGMGRS+rolg35mB+LonawzGKJ0jdQOLxFuevmcJKk02HFcaHGgsqX6e/9r&#10;FLjjlZcfPZdp9XN6/1rwdvGy2Sr1OB3XbyACjeEe/m9/agXLFG5f4g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bIoxQAAANsAAAAPAAAAAAAAAAAAAAAAAJgCAABkcnMv&#10;ZG93bnJldi54bWxQSwUGAAAAAAQABAD1AAAAigMAAAAA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 xml:space="preserve">Начальник </w:t>
                        </w:r>
                      </w:p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ОИПП</w:t>
                        </w:r>
                      </w:p>
                    </w:txbxContent>
                  </v:textbox>
                </v:shape>
                <v:shape id="Блок-схема: процесс 47" o:spid="_x0000_s1038" type="#_x0000_t109" style="position:absolute;left:666;top:34375;width:10379;height:5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Xs8MA&#10;AADbAAAADwAAAGRycy9kb3ducmV2LnhtbESPT4vCMBTE7wt+h/AEb2vq6qpUo4iirHjyz8Xbo3m2&#10;xealm0St334jLHgcZuY3zHTemErcyfnSsoJeNwFBnFldcq7gdFx/jkH4gKyxskwKnuRhPmt9TDHV&#10;9sF7uh9CLiKEfYoKihDqVEqfFWTQd21NHL2LdQZDlC6X2uEjwk0lv5JkKA2WHBcKrGlZUHY93IwC&#10;d3ryYFPxcrj+vazOfd71v7c7pTrtZjEBEagJ7/B/+0crGIzg9SX+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kXs8MAAADbAAAADwAAAAAAAAAAAAAAAACYAgAAZHJzL2Rv&#10;d25yZXYueG1sUEsFBgAAAAAEAAQA9QAAAIgDAAAAAA=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Инженер-геодезист</w:t>
                        </w:r>
                      </w:p>
                    </w:txbxContent>
                  </v:textbox>
                </v:shape>
                <v:shape id="Блок-схема: процесс 48" o:spid="_x0000_s1039" type="#_x0000_t109" style="position:absolute;left:666;top:40662;width:10453;height:5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DwcEA&#10;AADbAAAADwAAAGRycy9kb3ducmV2LnhtbERPu27CMBTdK/UfrFuJrTgFiqoUE1VBIBATj6XbVXxJ&#10;osbXwTYk+Xs8IHU8Ou9F1ptG3Mn52rKCj3ECgriwuuZSwfm0fv8C4QOyxsYyKRjIQ7Z8fVlgqm3H&#10;B7ofQyliCPsUFVQhtKmUvqjIoB/bljhyF+sMhghdKbXDLoabRk6SZC4N1hwbKmwpr6j4O96MAnce&#10;eLZpOJ+vr5fV75T308/dXqnRW//zDSJQH/7FT/dW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g8HBAAAA2wAAAA8AAAAAAAAAAAAAAAAAmAIAAGRycy9kb3du&#10;cmV2LnhtbFBLBQYAAAAABAAEAPUAAACGAwAAAAA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Прораб</w:t>
                        </w:r>
                      </w:p>
                    </w:txbxContent>
                  </v:textbox>
                </v:shape>
                <v:shape id="Соединительная линия уступом 49" o:spid="_x0000_s1040" type="#_x0000_t33" style="position:absolute;left:9789;top:25287;width:5877;height:336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3YBcUAAADbAAAADwAAAGRycy9kb3ducmV2LnhtbESPT2vCQBTE70K/w/IKvemmrYiNrlIC&#10;pcWT/xB6e2RfstHs25DdxtRP7wqCx2FmfsPMl72tRUetrxwreB0lIIhzpysuFex3X8MpCB+QNdaO&#10;ScE/eVgungZzTLU784a6bShFhLBPUYEJoUml9Lkhi37kGuLoFa61GKJsS6lbPEe4reVbkkykxYrj&#10;gsGGMkP5aftnFRTH9fu32YRLlu+TLitWxwP/7pR6ee4/ZyAC9eERvrd/tILxB9y+xB8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3YBcUAAADbAAAADwAAAAAAAAAA&#10;AAAAAAChAgAAZHJzL2Rvd25yZXYueG1sUEsFBgAAAAAEAAQA+QAAAJMDAAAAAA==&#10;" strokecolor="windowText" strokeweight="2pt">
                  <v:shadow on="t" color="black" opacity="24903f" origin=",.5" offset="0,.55556mm"/>
                </v:shape>
                <v:shape id="Соединительная линия уступом 50" o:spid="_x0000_s1041" type="#_x0000_t33" style="position:absolute;left:6259;top:28817;width:12938;height:336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7nRcEAAADbAAAADwAAAGRycy9kb3ducmV2LnhtbERPz2vCMBS+C/sfwht403QbinRGGYXh&#10;8KRWBrs9mtemrnkpTazVv94cBI8f3+/lerCN6KnztWMFb9MEBHHhdM2VgmP+PVmA8AFZY+OYFFzJ&#10;w3r1Mlpiqt2F99QfQiViCPsUFZgQ2lRKXxiy6KeuJY5c6TqLIcKukrrDSwy3jXxPkrm0WHNsMNhS&#10;Zqj4P5ytgvK0+9iYfbhlxTHps3J7+uW/XKnx6/D1CSLQEJ7ih/tHK5jF9fFL/AF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DudFwQAAANsAAAAPAAAAAAAAAAAAAAAA&#10;AKECAABkcnMvZG93bnJldi54bWxQSwUGAAAAAAQABAD5AAAAjwMAAAAA&#10;" strokecolor="windowText" strokeweight="2pt">
                  <v:shadow on="t" color="black" opacity="24903f" origin=",.5" offset="0,.55556mm"/>
                </v:shape>
                <v:shape id="Соединительная линия уступом 51" o:spid="_x0000_s1042" type="#_x0000_t33" style="position:absolute;left:3277;top:32017;width:19049;height:336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JC3sQAAADbAAAADwAAAGRycy9kb3ducmV2LnhtbESPT2vCQBTE7wW/w/IEb3Wj0iLRVSQg&#10;FU/1D4K3R/YlG82+DdltTPvpu4WCx2FmfsMs172tRUetrxwrmIwTEMS50xWXCs6n7eschA/IGmvH&#10;pOCbPKxXg5clpto9+EDdMZQiQtinqMCE0KRS+tyQRT92DXH0CtdaDFG2pdQtPiLc1nKaJO/SYsVx&#10;wWBDmaH8fvyyCorb5+zDHMJPlp+TLiv2twtfT0qNhv1mASJQH57h//ZOK3ibwN+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QkLexAAAANsAAAAPAAAAAAAAAAAA&#10;AAAAAKECAABkcnMvZG93bnJldi54bWxQSwUGAAAAAAQABAD5AAAAkgMAAAAA&#10;" strokecolor="windowText" strokeweight="2pt">
                  <v:shadow on="t" color="black" opacity="24903f" origin=",.5" offset="0,.55556mm"/>
                </v:shape>
                <v:shape id="Блок-схема: процесс 52" o:spid="_x0000_s1043" type="#_x0000_t109" style="position:absolute;left:666;top:48251;width:10380;height:5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i9sMA&#10;AADbAAAADwAAAGRycy9kb3ducmV2LnhtbESPT4vCMBTE78J+h/AW9qapf1mqURbFRfFk14u3R/Ns&#10;i81LN4lav70RBI/DzPyGmS1aU4srOV9ZVtDvJSCIc6srLhQc/tbdbxA+IGusLZOCO3lYzD86M0y1&#10;vfGerlkoRISwT1FBGUKTSunzkgz6nm2Io3eyzmCI0hVSO7xFuKnlIEkm0mDFcaHEhpYl5efsYhS4&#10;w51HvzUvJ+v/0+o45N1wvN0p9fXZ/kxBBGrDO/xqb7SC8QC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ci9sMAAADbAAAADwAAAAAAAAAAAAAAAACYAgAAZHJzL2Rv&#10;d25yZXYueG1sUEsFBgAAAAAEAAQA9QAAAIgDAAAAAA=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Мастер</w:t>
                        </w:r>
                      </w:p>
                    </w:txbxContent>
                  </v:textbox>
                </v:shape>
                <v:line id="Прямая соединительная линия 54" o:spid="_x0000_s1044" style="position:absolute;flip:y;visibility:visible;mso-wrap-style:square" from="5856,45793" to="5892,48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7M8QAAADbAAAADwAAAGRycy9kb3ducmV2LnhtbESPT2vCQBTE70K/w/IK3sxuRaVNXaUo&#10;goUeNC0Fb4/saxKafRuymz/99m5B8DjMzG+Y9Xa0teip9ZVjDU+JAkGcO1NxoeHr8zB7BuEDssHa&#10;MWn4Iw/bzcNkjalxA5+pz0IhIoR9ihrKEJpUSp+XZNEnriGO3o9rLYYo20KaFocIt7WcK7WSFiuO&#10;CyU2tCsp/806q0Gpj5fL+9ifvlW4NFl37Ib9QFpPH8e3VxCBxnAP39pHo2G5gP8v8Q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nszxAAAANs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shape id="Блок-схема: процесс 55" o:spid="_x0000_s1045" type="#_x0000_t109" style="position:absolute;left:666;top:55336;width:10453;height:5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6gsIA&#10;AADbAAAADwAAAGRycy9kb3ducmV2LnhtbESPQYvCMBSE78L+h/AWvGm6akWqURZFUTyt68Xbo3m2&#10;xealJlHrvzcLCx6HmfmGmS1aU4s7OV9ZVvDVT0AQ51ZXXCg4/q57ExA+IGusLZOCJ3lYzD86M8y0&#10;ffAP3Q+hEBHCPkMFZQhNJqXPSzLo+7Yhjt7ZOoMhSldI7fAR4aaWgyQZS4MVx4USG1qWlF8ON6PA&#10;HZ882tS8HK+v59VpyPthutsr1f1sv6cgArXhHf5vb7WCNIW/L/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rqCwgAAANsAAAAPAAAAAAAAAAAAAAAAAJgCAABkcnMvZG93&#10;bnJldi54bWxQSwUGAAAAAAQABAD1AAAAhwMAAAAA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Дорожный участок</w:t>
                        </w:r>
                      </w:p>
                      <w:p w:rsidR="008616E2" w:rsidRDefault="008616E2" w:rsidP="009F4EBB"/>
                    </w:txbxContent>
                  </v:textbox>
                </v:shape>
                <v:line id="Прямая соединительная линия 57" o:spid="_x0000_s1046" style="position:absolute;flip:x y;visibility:visible;mso-wrap-style:square" from="5856,53547" to="5893,5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078sYAAADbAAAADwAAAGRycy9kb3ducmV2LnhtbESPQWvCQBSE7wX/w/IKXkQ3SWkTU1cR&#10;odCDl6Y99PjIvmaTZt+G7Krx33cFocdhZr5hNrvJ9uJMo28dK0hXCQji2umWGwVfn2/LAoQPyBp7&#10;x6TgSh5229nDBkvtLvxB5yo0IkLYl6jAhDCUUvrakEW/cgNx9H7caDFEOTZSj3iJcNvLLElepMWW&#10;44LBgQ6G6t/qZBUkT9djdjTFItt37SL9zrt0WndKzR+n/SuIQFP4D9/b71rBcw63L/EH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9O/LGAAAA2wAAAA8AAAAAAAAA&#10;AAAAAAAAoQIAAGRycy9kb3ducmV2LnhtbFBLBQYAAAAABAAEAPkAAACUAwAAAAA=&#10;" strokecolor="windowText" strokeweight="2pt">
                  <v:shadow on="t" color="black" opacity="24903f" origin=",.5" offset="0,.55556mm"/>
                </v:line>
                <v:shape id="Блок-схема: процесс 58" o:spid="_x0000_s1047" type="#_x0000_t109" style="position:absolute;left:21150;top:27038;width:17652;height:3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VHMEA&#10;AADbAAAADwAAAGRycy9kb3ducmV2LnhtbERPyW7CMBC9V+o/WFOJW3FaFlUpJqqCQCBOLJfeRvGQ&#10;RI3HqW1I8vf4gMTx6e2LrDeNuJHztWUFH+MEBHFhdc2lgvNp/f4FwgdkjY1lUjCQh2z5+rLAVNuO&#10;D3Q7hlLEEPYpKqhCaFMpfVGRQT+2LXHkLtYZDBG6UmqHXQw3jfxMkrk0WHNsqLClvKLi73g1Ctx5&#10;4Omm4Xy+/r+sfie8n8x2e6VGb/3PN4hAfXiKH+6tVjCLY+OX+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fFRzBAAAA2wAAAA8AAAAAAAAAAAAAAAAAmAIAAGRycy9kb3du&#10;cmV2LnhtbFBLBQYAAAAABAAEAPUAAACGAwAAAAA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Бухгалтер</w:t>
                        </w:r>
                      </w:p>
                    </w:txbxContent>
                  </v:textbox>
                </v:shape>
                <v:line id="Прямая соединительная линия 59" o:spid="_x0000_s1048" style="position:absolute;visibility:visible;mso-wrap-style:square" from="31967,24029" to="31967,2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Sf8UAAADbAAAADwAAAGRycy9kb3ducmV2LnhtbESP3WoCMRSE7wu+QziCdzWrUq2rUUQQ&#10;RBD8aaGXx81xdzE5WTbR3fr0TaHQy2FmvmHmy9Ya8aDal44VDPoJCOLM6ZJzBR/nzes7CB+QNRrH&#10;pOCbPCwXnZc5pto1fKTHKeQiQtinqKAIoUql9FlBFn3fVcTRu7raYoiyzqWusYlwa+QwScbSYslx&#10;ocCK1gVlt9PdKmg+L8cyMftrYDfKLpPd5uvwNEr1uu1qBiJQG/7Df+2tVvA2hd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hSf8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shape id="Блок-схема: процесс 60" o:spid="_x0000_s1049" type="#_x0000_t109" style="position:absolute;left:20832;top:55500;width:17739;height:5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Tp78A&#10;AADbAAAADwAAAGRycy9kb3ducmV2LnhtbERPy4rCMBTdC/5DuII7TR3HItUo4qA4uPKxcXdprm2x&#10;ualJ1Pr3k8WAy8N5z5etqcWTnK8sKxgNExDEudUVFwrOp81gCsIHZI21ZVLwJg/LRbczx0zbFx/o&#10;eQyFiCHsM1RQhtBkUvq8JIN+aBviyF2tMxgidIXUDl8x3NTyK0lSabDi2FBiQ+uS8tvxYRS485u/&#10;tzWv0839+nMZ8348+d0r1e+1qxmIQG34iP/dO60gjevjl/gD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hdOnvwAAANsAAAAPAAAAAAAAAAAAAAAAAJgCAABkcnMvZG93bnJl&#10;di54bWxQSwUGAAAAAAQABAD1AAAAhAMAAAAA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Материальный склад</w:t>
                        </w:r>
                      </w:p>
                    </w:txbxContent>
                  </v:textbox>
                </v:shape>
                <v:shape id="Блок-схема: процесс 62" o:spid="_x0000_s1050" type="#_x0000_t109" style="position:absolute;left:42300;top:34108;width:12882;height:3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oS8QA&#10;AADbAAAADwAAAGRycy9kb3ducmV2LnhtbESPT2vCQBTE74V+h+UVvNVN1QaJ2UixWFo81ebi7ZF9&#10;+YPZt+nuqvHbu4WCx2FmfsPk69H04kzOd5YVvEwTEMSV1R03Csqf7fMShA/IGnvLpOBKHtbF40OO&#10;mbYX/qbzPjQiQthnqKANYcik9FVLBv3UDsTRq60zGKJ0jdQOLxFuejlLklQa7DgutDjQpqXquD8Z&#10;Ba688uKj5026/a3fD3PezV+/dkpNnsa3FYhAY7iH/9ufWkE6g78v8Q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EvEAAAA2wAAAA8AAAAAAAAAAAAAAAAAmAIAAGRycy9k&#10;b3ducmV2LnhtbFBLBQYAAAAABAAEAPUAAACJAwAAAAA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Механик</w:t>
                        </w:r>
                      </w:p>
                    </w:txbxContent>
                  </v:textbox>
                </v:shape>
                <v:shape id="Блок-схема: процесс 63" o:spid="_x0000_s1051" type="#_x0000_t109" style="position:absolute;left:42221;top:26897;width:12961;height:5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N0MQA&#10;AADbAAAADwAAAGRycy9kb3ducmV2LnhtbESPT2vCQBTE74V+h+UVvNWNjQ0lZpViUSyemnrx9si+&#10;/MHs23R31fjt3UKhx2FmfsMUq9H04kLOd5YVzKYJCOLK6o4bBYfvzfMbCB+QNfaWScGNPKyWjw8F&#10;5tpe+YsuZWhEhLDPUUEbwpBL6auWDPqpHYijV1tnMETpGqkdXiPc9PIlSTJpsOO40OJA65aqU3k2&#10;CtzhxvNtz+ts81N/HFPep6+fe6UmT+P7AkSgMfyH/9o7rSBL4fd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XTdDEAAAA2wAAAA8AAAAAAAAAAAAAAAAAmAIAAGRycy9k&#10;b3ducmV2LnhtbFBLBQYAAAAABAAEAPUAAACJAwAAAAA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Инженер-диспетчер</w:t>
                        </w:r>
                      </w:p>
                    </w:txbxContent>
                  </v:textbox>
                </v:shape>
                <v:shape id="Соединительная линия уступом 67" o:spid="_x0000_s1052" type="#_x0000_t33" style="position:absolute;left:53302;top:26053;width:5269;height:151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u1jMQAAADbAAAADwAAAGRycy9kb3ducmV2LnhtbESPT2vCQBTE7wW/w/KE3urGFqxEV5GA&#10;VHqqfxC8PbIv2Wj2bciuMe2nd4WCx2FmfsPMl72tRUetrxwrGI8SEMS50xWXCg779dsUhA/IGmvH&#10;pOCXPCwXg5c5ptrdeEvdLpQiQtinqMCE0KRS+tyQRT9yDXH0CtdaDFG2pdQt3iLc1vI9SSbSYsVx&#10;wWBDmaH8srtaBcX55+PLbMNflh+SLiu+z0c+7ZV6HfarGYhAfXiG/9sbrWDyCY8v8Q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7WMxAAAANsAAAAPAAAAAAAAAAAA&#10;AAAAAKECAABkcnMvZG93bnJldi54bWxQSwUGAAAAAAQABAD5AAAAkgMAAAAA&#10;" strokecolor="windowText" strokeweight="2pt">
                  <v:shadow on="t" color="black" opacity="24903f" origin=",.5" offset="0,.55556mm"/>
                </v:shape>
                <v:shape id="Соединительная линия уступом 68" o:spid="_x0000_s1053" type="#_x0000_t33" style="position:absolute;left:50096;top:29261;width:11681;height:151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Qh/sAAAADbAAAADwAAAGRycy9kb3ducmV2LnhtbERPy4rCMBTdC/MP4Q6403QcEKlGkcKg&#10;zMoXgrtLc9tUm5vSxFr9+sliwOXhvBer3taio9ZXjhV8jRMQxLnTFZcKTsef0QyED8gaa8ek4Eke&#10;VsuPwQJT7R68p+4QShFD2KeowITQpFL63JBFP3YNceQK11oMEbal1C0+Yrit5SRJptJixbHBYEOZ&#10;ofx2uFsFxXX3vTH78MryU9Jlxe/1zJejUsPPfj0HEagPb/G/e6sVTOPY+CX+AL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UIf7AAAAA2wAAAA8AAAAAAAAAAAAAAAAA&#10;oQIAAGRycy9kb3ducmV2LnhtbFBLBQYAAAAABAAEAPkAAACOAwAAAAA=&#10;" strokecolor="windowText" strokeweight="2pt">
                  <v:shadow on="t" color="black" opacity="24903f" origin=",.5" offset="0,.55556mm"/>
                </v:shape>
                <v:shape id="Блок-схема: процесс 69" o:spid="_x0000_s1054" type="#_x0000_t109" style="position:absolute;left:42619;top:55323;width:12404;height:5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6OsMA&#10;AADbAAAADwAAAGRycy9kb3ducmV2LnhtbESPQWsCMRSE70L/Q3gFb5pt1UVXoxRFsXiq9eLtsXnu&#10;Lt28rEnU9d+bguBxmJlvmNmiNbW4kvOVZQUf/QQEcW51xYWCw++6NwbhA7LG2jIpuJOHxfytM8NM&#10;2xv/0HUfChEh7DNUUIbQZFL6vCSDvm8b4uidrDMYonSF1A5vEW5q+ZkkqTRYcVwosaFlSfnf/mIU&#10;uMOdh5ual+n6fFodB7wbjL53SnXf268piEBteIWf7a1WkE7g/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96OsMAAADbAAAADwAAAAAAAAAAAAAAAACYAgAAZHJzL2Rv&#10;d25yZXYueG1sUEsFBgAAAAAEAAQA9QAAAIgDAAAAAA==&#10;" fillcolor="window" strokecolor="windowText" strokeweight="2pt">
                  <v:textbox>
                    <w:txbxContent>
                      <w:p w:rsidR="008616E2" w:rsidRDefault="008616E2" w:rsidP="009F4EBB">
                        <w:pPr>
                          <w:spacing w:line="240" w:lineRule="auto"/>
                          <w:jc w:val="center"/>
                        </w:pPr>
                        <w:r>
                          <w:t>Ремонтные мастерские</w:t>
                        </w:r>
                      </w:p>
                    </w:txbxContent>
                  </v:textbox>
                </v:shape>
                <v:line id="Прямая соединительная линия 70" o:spid="_x0000_s1055" style="position:absolute;visibility:visible;mso-wrap-style:square" from="31967,30522" to="31967,55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ngsAAAADbAAAADwAAAGRycy9kb3ducmV2LnhtbERPTYvCMBC9C/6HMII3TV1BpRpFBGER&#10;hNVdwePYjG0xmZQm2rq/3hwEj4/3vVi11ogH1b50rGA0TEAQZ06XnCv4+90OZiB8QNZoHJOCJ3lY&#10;LbudBabaNXygxzHkIoawT1FBEUKVSumzgiz6oauII3d1tcUQYZ1LXWMTw62RX0kykRZLjg0FVrQp&#10;KLsd71ZBc7ocysTsr4HdOLtMd9vzz79Rqt9r13MQgdrwEb/d31rBNK6PX+IP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3p4LAAAAA2wAAAA8AAAAAAAAAAAAAAAAA&#10;oQIAAGRycy9kb3ducmV2LnhtbFBLBQYAAAAABAAEAPkAAACOAwAAAAA=&#10;" strokecolor="windowText" strokeweight="2pt">
                  <v:shadow on="t" color="black" opacity="24903f" origin=",.5" offset="0,.55556mm"/>
                </v:line>
                <v:line id="Прямая соединительная линия 71" o:spid="_x0000_s1056" style="position:absolute;visibility:visible;mso-wrap-style:square" from="48741,37609" to="48821,55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CGcMAAADbAAAADwAAAGRycy9kb3ducmV2LnhtbESPQYvCMBSE7wv+h/AEb5qqoNI1yiII&#10;IgjqrrDHZ/NsyyYvpYm2+uuNIOxxmJlvmPmytUbcqPalYwXDQQKCOHO65FzBz/e6PwPhA7JG45gU&#10;3MnDctH5mGOqXcMHuh1DLiKEfYoKihCqVEqfFWTRD1xFHL2Lqy2GKOtc6hqbCLdGjpJkIi2WHBcK&#10;rGhVUPZ3vFoFzel8KBOzuwR24+w83a5/9w+jVK/bfn2CCNSG//C7vdEKpkN4fYk/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7AhnDAAAA2wAAAA8AAAAAAAAAAAAA&#10;AAAAoQIAAGRycy9kb3ducmV2LnhtbFBLBQYAAAAABAAEAPkAAACRAwAAAAA=&#10;" strokecolor="windowText" strokeweight="2pt">
                  <v:shadow on="t" color="black" opacity="24903f" origin=",.5" offset="0,.55556mm"/>
                </v:line>
                <w10:anchorlock/>
              </v:group>
            </w:pict>
          </mc:Fallback>
        </mc:AlternateContent>
      </w:r>
    </w:p>
    <w:p w:rsidR="008616E2" w:rsidRPr="009F4EBB" w:rsidRDefault="008616E2" w:rsidP="008616E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8616E2">
        <w:rPr>
          <w:rFonts w:ascii="Times New Roman" w:hAnsi="Times New Roman"/>
          <w:color w:val="000000" w:themeColor="text1"/>
          <w:sz w:val="28"/>
        </w:rPr>
        <w:t>Рис</w:t>
      </w:r>
      <w:r w:rsidRPr="003E0113">
        <w:rPr>
          <w:rFonts w:ascii="Times New Roman" w:hAnsi="Times New Roman"/>
          <w:color w:val="000000" w:themeColor="text1"/>
          <w:sz w:val="28"/>
        </w:rPr>
        <w:t xml:space="preserve"> 2</w:t>
      </w:r>
      <w:r w:rsidRPr="008616E2">
        <w:rPr>
          <w:rFonts w:ascii="Times New Roman" w:hAnsi="Times New Roman"/>
          <w:color w:val="000000" w:themeColor="text1"/>
          <w:sz w:val="28"/>
        </w:rPr>
        <w:t>.1</w:t>
      </w:r>
      <w:r w:rsidRPr="003E0113">
        <w:rPr>
          <w:rFonts w:ascii="Times New Roman" w:hAnsi="Times New Roman"/>
          <w:color w:val="000000" w:themeColor="text1"/>
          <w:sz w:val="28"/>
        </w:rPr>
        <w:t xml:space="preserve"> – </w:t>
      </w:r>
      <w:r w:rsidRPr="008616E2">
        <w:rPr>
          <w:rFonts w:ascii="Times New Roman" w:hAnsi="Times New Roman"/>
          <w:color w:val="000000" w:themeColor="text1"/>
          <w:sz w:val="28"/>
        </w:rPr>
        <w:t>Схема структуры организации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 xml:space="preserve">Основные функции по эффективному функционированию </w:t>
      </w:r>
      <w:r>
        <w:rPr>
          <w:rFonts w:ascii="Times New Roman" w:hAnsi="Times New Roman"/>
          <w:color w:val="000000" w:themeColor="text1"/>
          <w:sz w:val="28"/>
        </w:rPr>
        <w:t xml:space="preserve">организационной </w:t>
      </w:r>
      <w:r w:rsidRPr="009F4EBB">
        <w:rPr>
          <w:rFonts w:ascii="Times New Roman" w:hAnsi="Times New Roman"/>
          <w:color w:val="000000" w:themeColor="text1"/>
          <w:sz w:val="28"/>
        </w:rPr>
        <w:t xml:space="preserve">структуры организации возложены на генерального директора. Согласно устава он избирается общим собранием акционеров, путем голосования. В </w:t>
      </w:r>
      <w:r w:rsidRPr="009F4EBB">
        <w:rPr>
          <w:rFonts w:ascii="Times New Roman" w:hAnsi="Times New Roman"/>
          <w:color w:val="000000" w:themeColor="text1"/>
          <w:sz w:val="28"/>
        </w:rPr>
        <w:lastRenderedPageBreak/>
        <w:t>дальнейшем заключается трудовой договор в котором прописаны все основные вопросы его полномочий и обязанностей.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Непосредственно Генеральному директору подчиняются главный инженер, главный механик, главный бухгалтер, специалист отдела кадров (секретарь).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В организации можно выделить три основных производственных структуры: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- инженерно-производственная;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- бухгалтерско-финансовая;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- ремонтная.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Руководство инженерно-производственной службой возложено на главного инженера, который осуществляет руководство над начальником отдела инженерно-производственной подготовки, прорабом, инженером геодезистом.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Прораб непосредственно руководит мастером и осуществляет контроль за всем циклом работ на объектах. В функции мастера входи распределение рабочих дорожного участка: водителей, механизаторов дорожной техники, дорожных рабочих по непосредственным местам работы.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Начальник отдела инженерно-производственной подготовки осуществляет подготовку документации для учета выполненных работ по объектам, количества израсходованных строительных материалов.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Инженер-геодезист производит работы по планировке дорог, осуществляет ведение первичной документации по объемам добытого песка и песчано-гравийной смеси в карьерах.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На главного бухгалтера возложены обязанности организации, ведения и контроля бухгалтерской и финансовой деятельности в организации. Ведении первичного учета осуществляется бухгалтером. В структуре данной службы находится материальный склад, учет материально-производственных запасов возложен на кладовщика.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Главный механик осуществляет организацию работ по обслуживанию, ремонту автотранспортных средств, дорожной техники, содержанию ремонт</w:t>
      </w:r>
      <w:r w:rsidRPr="009F4EBB">
        <w:rPr>
          <w:rFonts w:ascii="Times New Roman" w:hAnsi="Times New Roman"/>
          <w:color w:val="000000" w:themeColor="text1"/>
          <w:sz w:val="28"/>
        </w:rPr>
        <w:lastRenderedPageBreak/>
        <w:t>ных мастерских. Непосредственно ему подчиняются механик и инженер-диспетчер. Механик контролирует производство работ по ремонту техники, потребность в запасных частях и механизмах, правила соблюдения техники безопасности. На инженера-диспетчера возложены обязанности во оформлению первичных документов используемых при работе транспорта. В состав этого подразделения входят рабочие вспомогательных служб – токарь, электрик, сторожа.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9F4EBB">
        <w:rPr>
          <w:rFonts w:ascii="Times New Roman" w:hAnsi="Times New Roman"/>
          <w:color w:val="000000" w:themeColor="text1"/>
          <w:sz w:val="28"/>
        </w:rPr>
        <w:t>Специалист отдела кадров (секретарь) обособлена от других производственных структур и находится в непосредственном подчинении генерального директора. На данную службу возложены функции организации документооборота по кадровым вопросам, регистрации корреспонденции, документы по производственной деятельности (приказы, письма).</w:t>
      </w:r>
    </w:p>
    <w:p w:rsidR="009F4EBB" w:rsidRPr="009F4EBB" w:rsidRDefault="009F4EBB" w:rsidP="009F4EB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Организационная </w:t>
      </w:r>
      <w:r w:rsidRPr="009F4EBB">
        <w:rPr>
          <w:rFonts w:ascii="Times New Roman" w:hAnsi="Times New Roman"/>
          <w:color w:val="000000" w:themeColor="text1"/>
          <w:sz w:val="28"/>
        </w:rPr>
        <w:t>структура предприятия отражает характер разделения труда между отдельными подразделениями, а также их кооперированные связи в едином производственном процессе по созданию продукции. Она оказывает существенное влияние на эффективность и конкурентоспособность предприятия. Состав, размеры производственных подразделений, степень их пропорциональности, рациональность размещения на территории предприятия, устойчивость производственных связей влияют на ритмичность производства и равномерность выпуска продукции, определяют издержки производства и, следовательно, уровень чистого дохода предприятия.</w:t>
      </w:r>
    </w:p>
    <w:p w:rsidR="009F4EBB" w:rsidRDefault="009F4EBB">
      <w:r>
        <w:br w:type="page"/>
      </w:r>
    </w:p>
    <w:p w:rsidR="008616E2" w:rsidRPr="008616E2" w:rsidRDefault="00B94CE1" w:rsidP="008616E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479166176"/>
      <w:bookmarkStart w:id="10" w:name="_Toc516175704"/>
      <w:r w:rsidRPr="008616E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</w:t>
      </w:r>
      <w:r w:rsidR="00F73CE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8616E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Основные результаты </w:t>
      </w:r>
      <w:r w:rsidR="008616E2">
        <w:rPr>
          <w:rFonts w:ascii="Times New Roman" w:hAnsi="Times New Roman" w:cs="Times New Roman"/>
          <w:b/>
          <w:color w:val="auto"/>
          <w:sz w:val="28"/>
          <w:szCs w:val="28"/>
        </w:rPr>
        <w:t>деятельности предприятия за 2016-2017</w:t>
      </w:r>
      <w:r w:rsidRPr="008616E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годы</w:t>
      </w:r>
      <w:bookmarkEnd w:id="9"/>
      <w:bookmarkEnd w:id="10"/>
    </w:p>
    <w:p w:rsidR="008616E2" w:rsidRDefault="008616E2" w:rsidP="00861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6E2" w:rsidRPr="008616E2" w:rsidRDefault="008616E2" w:rsidP="00861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основных показателей деятельности позволяют выявить сильные и слабые стороны финансово-хозяйственной деятельности предприятия. Динамика основных финансово-экономических показателей представлена в таблице 3.1.</w:t>
      </w:r>
    </w:p>
    <w:p w:rsidR="00B94CE1" w:rsidRDefault="008616E2" w:rsidP="00B94C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3.</w:t>
      </w:r>
      <w:r w:rsidRPr="008616E2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Д</w:t>
      </w:r>
      <w:r w:rsidR="00B94CE1">
        <w:rPr>
          <w:rFonts w:ascii="Times New Roman" w:eastAsia="Calibri" w:hAnsi="Times New Roman" w:cs="Times New Roman"/>
          <w:sz w:val="28"/>
          <w:szCs w:val="28"/>
        </w:rPr>
        <w:t xml:space="preserve">инамика основных </w:t>
      </w:r>
      <w:r w:rsidR="00B94CE1" w:rsidRPr="002B2688">
        <w:rPr>
          <w:rFonts w:ascii="Times New Roman" w:eastAsia="Calibri" w:hAnsi="Times New Roman" w:cs="Times New Roman"/>
          <w:sz w:val="28"/>
          <w:szCs w:val="28"/>
        </w:rPr>
        <w:t>финан</w:t>
      </w:r>
      <w:r w:rsidR="00B94CE1">
        <w:rPr>
          <w:rFonts w:ascii="Times New Roman" w:eastAsia="Calibri" w:hAnsi="Times New Roman" w:cs="Times New Roman"/>
          <w:sz w:val="28"/>
          <w:szCs w:val="28"/>
        </w:rPr>
        <w:t>сово-экономических показателей п</w:t>
      </w:r>
      <w:r w:rsidR="00B94CE1" w:rsidRPr="002B2688">
        <w:rPr>
          <w:rFonts w:ascii="Times New Roman" w:eastAsia="Calibri" w:hAnsi="Times New Roman" w:cs="Times New Roman"/>
          <w:sz w:val="28"/>
          <w:szCs w:val="28"/>
        </w:rPr>
        <w:t>ред</w:t>
      </w:r>
      <w:r w:rsidR="00B94CE1">
        <w:rPr>
          <w:rFonts w:ascii="Times New Roman" w:eastAsia="Calibri" w:hAnsi="Times New Roman" w:cs="Times New Roman"/>
          <w:sz w:val="28"/>
          <w:szCs w:val="28"/>
        </w:rPr>
        <w:t>приятия за 2016 – 2017 года</w:t>
      </w:r>
    </w:p>
    <w:tbl>
      <w:tblPr>
        <w:tblW w:w="49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1404"/>
        <w:gridCol w:w="1403"/>
        <w:gridCol w:w="1111"/>
        <w:gridCol w:w="1321"/>
      </w:tblGrid>
      <w:tr w:rsidR="00B94CE1" w:rsidRPr="00AC5D02" w:rsidTr="00B94CE1">
        <w:trPr>
          <w:trHeight w:val="799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 к 2016, тыс. руб.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 к 2016 , %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1.Выручка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39744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62611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+22867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+57,535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2.Себестоимость продаж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40495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59493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+18998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+46,914</w:t>
            </w:r>
          </w:p>
        </w:tc>
      </w:tr>
      <w:tr w:rsidR="00B94CE1" w:rsidRPr="00AC5D02" w:rsidTr="00B94CE1">
        <w:trPr>
          <w:trHeight w:val="276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Валовая прибыль (убыток)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-751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3172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+3923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+322,370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Управленческие расходы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Коммерческие расходы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Прибыль (убыток) от продаж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-751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3172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+3923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+322,370</w:t>
            </w:r>
          </w:p>
        </w:tc>
      </w:tr>
      <w:tr w:rsidR="00B94CE1" w:rsidRPr="00AC5D02" w:rsidTr="00B94CE1">
        <w:trPr>
          <w:trHeight w:val="537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Доходы от участия в других </w:t>
            </w:r>
          </w:p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организациях 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Проценты к получению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Проценты к уплате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Прочие доходы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-100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-35,461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Прочие расходы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1110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+954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611,538</w:t>
            </w:r>
          </w:p>
        </w:tc>
      </w:tr>
      <w:tr w:rsidR="00B94CE1" w:rsidRPr="00AC5D02" w:rsidTr="00B94CE1">
        <w:trPr>
          <w:trHeight w:val="261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Прибыль (убыток) до налогообложения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-625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2244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+2869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+259,04</w:t>
            </w:r>
          </w:p>
        </w:tc>
      </w:tr>
      <w:tr w:rsidR="00B94CE1" w:rsidRPr="00AC5D02" w:rsidTr="00B94CE1">
        <w:trPr>
          <w:trHeight w:val="276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Текущий налог на прибыль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+132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94CE1" w:rsidRPr="00AC5D02" w:rsidTr="00B94CE1">
        <w:trPr>
          <w:trHeight w:val="276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Чистая прибыль (убыток) </w:t>
            </w:r>
          </w:p>
        </w:tc>
        <w:tc>
          <w:tcPr>
            <w:tcW w:w="726" w:type="pct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-625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+2650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+67,6</w:t>
            </w:r>
          </w:p>
        </w:tc>
      </w:tr>
      <w:tr w:rsidR="00B94CE1" w:rsidRPr="00AC5D02" w:rsidTr="00B94CE1">
        <w:trPr>
          <w:trHeight w:val="276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Рентабельность продаж %</w:t>
            </w:r>
          </w:p>
        </w:tc>
        <w:tc>
          <w:tcPr>
            <w:tcW w:w="726" w:type="pct"/>
          </w:tcPr>
          <w:p w:rsidR="00B94CE1" w:rsidRPr="00AC5D02" w:rsidRDefault="001E0038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-1,88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1E0038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5,06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1E0038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1E0038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+166,3</w:t>
            </w:r>
          </w:p>
        </w:tc>
      </w:tr>
      <w:tr w:rsidR="00B94CE1" w:rsidRPr="00AC5D02" w:rsidTr="00B94CE1">
        <w:trPr>
          <w:trHeight w:val="276"/>
        </w:trPr>
        <w:tc>
          <w:tcPr>
            <w:tcW w:w="2288" w:type="pct"/>
            <w:shd w:val="clear" w:color="auto" w:fill="auto"/>
          </w:tcPr>
          <w:p w:rsidR="00B94CE1" w:rsidRPr="00AC5D02" w:rsidRDefault="00B94CE1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  <w:r w:rsidR="001E0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Рентабельность продукции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726" w:type="pct"/>
          </w:tcPr>
          <w:p w:rsidR="00B94CE1" w:rsidRPr="00AC5D02" w:rsidRDefault="001E0038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-1,85</w:t>
            </w:r>
          </w:p>
        </w:tc>
        <w:tc>
          <w:tcPr>
            <w:tcW w:w="726" w:type="pct"/>
            <w:shd w:val="clear" w:color="auto" w:fill="auto"/>
          </w:tcPr>
          <w:p w:rsidR="00B94CE1" w:rsidRPr="00AC5D02" w:rsidRDefault="001E0038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5,33</w:t>
            </w:r>
          </w:p>
        </w:tc>
        <w:tc>
          <w:tcPr>
            <w:tcW w:w="575" w:type="pct"/>
            <w:shd w:val="clear" w:color="auto" w:fill="auto"/>
          </w:tcPr>
          <w:p w:rsidR="00B94CE1" w:rsidRPr="00AC5D02" w:rsidRDefault="001E0038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4" w:type="pct"/>
            <w:shd w:val="clear" w:color="auto" w:fill="auto"/>
          </w:tcPr>
          <w:p w:rsidR="00B94CE1" w:rsidRPr="00AC5D02" w:rsidRDefault="002427FE" w:rsidP="00DB2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+188,1</w:t>
            </w:r>
          </w:p>
        </w:tc>
      </w:tr>
    </w:tbl>
    <w:p w:rsidR="00B94CE1" w:rsidRPr="00B94CE1" w:rsidRDefault="00B94CE1" w:rsidP="00B94C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4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Таблица 2 показывает что, выручка в 2017 году увеличилась по сравнению с 2016 годом на 22567 тыс. руб. Показатель себестоимости за этот же период увеличился на 18998 тыс. руб, прирост выручки составил 57,535%, а себестоимости 46,914%, то есть доходы росли быстрее чем расходы, что привело увеличению валовой прибыли в 2017 году по сравнению с 2016 годом на 3923 тыс .руб. или 322,370 %. </w:t>
      </w:r>
    </w:p>
    <w:p w:rsidR="00B94CE1" w:rsidRPr="00B94CE1" w:rsidRDefault="00B94CE1" w:rsidP="00B94C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4CE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Произошло снижение показателя «прочие доходы» на 100 тыс. руб. или на 35,461%. В то же время увеличилась сумма прочих расходов по сравнению с предшествующим годом на 954 тыс. руб. или 611,538%.</w:t>
      </w:r>
    </w:p>
    <w:p w:rsidR="002427FE" w:rsidRDefault="00B94CE1" w:rsidP="00B94C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4CE1">
        <w:rPr>
          <w:rFonts w:ascii="Times New Roman" w:eastAsia="Times New Roman" w:hAnsi="Times New Roman" w:cs="Times New Roman"/>
          <w:sz w:val="28"/>
          <w:szCs w:val="20"/>
          <w:lang w:eastAsia="ru-RU"/>
        </w:rPr>
        <w:t>В 2016 году прибыль (убыток) до налогообложения составила (625) тыс. руб., в связи с чем налог на прибыль не начислялся и в бюджет не уплачивался, в отчетном году получена прибыль в сумме 2244 тыс. руб., начисленная согласно декларации сумма налога на прибыль составила 132 тыс руб.</w:t>
      </w:r>
    </w:p>
    <w:p w:rsidR="00B94CE1" w:rsidRDefault="00B94CE1" w:rsidP="00B94C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4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итогам работы за 2016 год в связи с получением отрицат</w:t>
      </w:r>
      <w:r w:rsidR="008616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ельного финансового результата </w:t>
      </w:r>
      <w:r w:rsidRPr="00B94CE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чистая прибыль отсутствует. За 2017 год размер чистой прибыли полученной организацией составил 2025 тыс. руб. Планируется направить ее на развитие материально-производственной базы организации (приобретение основных средств).</w:t>
      </w:r>
    </w:p>
    <w:p w:rsidR="002427FE" w:rsidRPr="00B94CE1" w:rsidRDefault="002427FE" w:rsidP="00B94C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Показатели рентабельности продаж и продукции в 2017г. значительно выросли по сравнению с 2016г. Рост показателя рентабельности продаж вырос с -1,88% до 5,06%, а показатель рентабельности продукции увеличился с 1,85% до 5,33%. Основным фактором, оказавшим влияние на положительную динамику показателей является значительное увеличение прибыли от продаж, рост которой составил 3923 тыс. руб.</w:t>
      </w:r>
    </w:p>
    <w:p w:rsidR="00B94CE1" w:rsidRPr="00B94CE1" w:rsidRDefault="00B94CE1" w:rsidP="00B94C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4C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Таблица </w:t>
      </w:r>
      <w:r w:rsidR="008616E2">
        <w:rPr>
          <w:rFonts w:ascii="Times New Roman" w:eastAsia="Times New Roman" w:hAnsi="Times New Roman" w:cs="Times New Roman"/>
          <w:sz w:val="28"/>
          <w:szCs w:val="24"/>
          <w:lang w:eastAsia="ru-RU"/>
        </w:rPr>
        <w:t>3.2</w:t>
      </w:r>
      <w:r w:rsidRPr="00B94C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Анализ использования трудовых ресурсов АО «Краснохолмское ДРСУ»</w:t>
      </w: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2"/>
        <w:gridCol w:w="1810"/>
        <w:gridCol w:w="1646"/>
        <w:gridCol w:w="1268"/>
      </w:tblGrid>
      <w:tr w:rsidR="00B94CE1" w:rsidRPr="00B94CE1" w:rsidTr="00DB2A4A">
        <w:trPr>
          <w:trHeight w:val="952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 к 2016, %</w:t>
            </w:r>
          </w:p>
        </w:tc>
      </w:tr>
      <w:tr w:rsidR="00B94CE1" w:rsidRPr="00B94CE1" w:rsidTr="00DB2A4A">
        <w:trPr>
          <w:trHeight w:val="310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1.Выручка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39744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62611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+57</w:t>
            </w:r>
          </w:p>
        </w:tc>
      </w:tr>
      <w:tr w:rsidR="00B94CE1" w:rsidRPr="00B94CE1" w:rsidTr="00DB2A4A">
        <w:trPr>
          <w:trHeight w:val="310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2.Себестоимость продаж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40495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59439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+46,78</w:t>
            </w:r>
          </w:p>
        </w:tc>
      </w:tr>
      <w:tr w:rsidR="00B94CE1" w:rsidRPr="00B94CE1" w:rsidTr="00DB2A4A">
        <w:trPr>
          <w:trHeight w:val="310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Чистая прибыль (убыток) 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-625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+224</w:t>
            </w:r>
          </w:p>
        </w:tc>
      </w:tr>
      <w:tr w:rsidR="00B94CE1" w:rsidRPr="00B94CE1" w:rsidTr="00DB2A4A">
        <w:trPr>
          <w:trHeight w:val="641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Численность работников на начало периода, чел.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-3,84</w:t>
            </w:r>
          </w:p>
        </w:tc>
      </w:tr>
      <w:tr w:rsidR="00B94CE1" w:rsidRPr="00B94CE1" w:rsidTr="00DB2A4A">
        <w:trPr>
          <w:trHeight w:val="624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Численность работников на конец периода, чел.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+10</w:t>
            </w:r>
          </w:p>
        </w:tc>
      </w:tr>
      <w:tr w:rsidR="00B94CE1" w:rsidRPr="00B94CE1" w:rsidTr="00DB2A4A">
        <w:trPr>
          <w:trHeight w:val="641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Численность уволенных работников, чел.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-57,14</w:t>
            </w:r>
          </w:p>
        </w:tc>
      </w:tr>
      <w:tr w:rsidR="00B94CE1" w:rsidRPr="00B94CE1" w:rsidTr="00DB2A4A">
        <w:trPr>
          <w:trHeight w:val="970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том числе по причинам, связанным с личностью работника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94CE1" w:rsidRPr="00B94CE1" w:rsidTr="00DB2A4A">
        <w:trPr>
          <w:trHeight w:val="624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Численность принятых на работу, чел.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+60</w:t>
            </w:r>
          </w:p>
        </w:tc>
      </w:tr>
      <w:tr w:rsidR="00B94CE1" w:rsidRPr="00B94CE1" w:rsidTr="00DB2A4A">
        <w:trPr>
          <w:trHeight w:val="641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Общие расходы на содержание персонала, тыс.руб.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16254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20158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+24,01</w:t>
            </w:r>
          </w:p>
        </w:tc>
      </w:tr>
      <w:tr w:rsidR="00B94CE1" w:rsidRPr="00B94CE1" w:rsidTr="00DB2A4A">
        <w:trPr>
          <w:trHeight w:val="624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Расходы на оплату труда, тыс.руб.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14388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17809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+23,77</w:t>
            </w:r>
          </w:p>
        </w:tc>
      </w:tr>
      <w:tr w:rsidR="00B94CE1" w:rsidRPr="00B94CE1" w:rsidTr="00DB2A4A">
        <w:trPr>
          <w:trHeight w:val="624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Среднесписочная численность работников, чел.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+8,16</w:t>
            </w:r>
          </w:p>
        </w:tc>
      </w:tr>
      <w:tr w:rsidR="00B94CE1" w:rsidRPr="00B94CE1" w:rsidTr="00DB2A4A">
        <w:trPr>
          <w:trHeight w:val="624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Среднемесячная заработная плата, тыс.руб.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25,50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28,00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4CE1" w:rsidRPr="00B94CE1" w:rsidTr="00DB2A4A">
        <w:trPr>
          <w:trHeight w:val="624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Объем среднемесячной выручки на одного среднесписочного работника, тыс.руб.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70,50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98,44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4CE1" w:rsidRPr="00B94CE1" w:rsidTr="00DB2A4A">
        <w:trPr>
          <w:trHeight w:val="641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Удельный вес расходов на содержание персонала в выручке, %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-19,51</w:t>
            </w:r>
          </w:p>
        </w:tc>
      </w:tr>
      <w:tr w:rsidR="00B94CE1" w:rsidRPr="00B94CE1" w:rsidTr="00DB2A4A">
        <w:trPr>
          <w:trHeight w:val="952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Удельный вес расходов на содержание персонала в общих расходах, %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-17,07</w:t>
            </w:r>
          </w:p>
        </w:tc>
      </w:tr>
      <w:tr w:rsidR="00B94CE1" w:rsidRPr="00B94CE1" w:rsidTr="00DB2A4A">
        <w:trPr>
          <w:trHeight w:val="624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Коэффициент оборота по приему, %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10,2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15,9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+55,9</w:t>
            </w:r>
          </w:p>
        </w:tc>
      </w:tr>
      <w:tr w:rsidR="00B94CE1" w:rsidRPr="00B94CE1" w:rsidTr="00DB2A4A">
        <w:trPr>
          <w:trHeight w:val="641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Коэффициент оборота по выбытию, %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14,29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-60,1</w:t>
            </w:r>
          </w:p>
        </w:tc>
      </w:tr>
      <w:tr w:rsidR="00B94CE1" w:rsidRPr="00B94CE1" w:rsidTr="00DB2A4A">
        <w:trPr>
          <w:trHeight w:val="624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Коэффициент текучести кадров, %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14,29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-60,1</w:t>
            </w:r>
          </w:p>
        </w:tc>
      </w:tr>
      <w:tr w:rsidR="00B94CE1" w:rsidRPr="00B94CE1" w:rsidTr="00DB2A4A">
        <w:trPr>
          <w:trHeight w:val="586"/>
        </w:trPr>
        <w:tc>
          <w:tcPr>
            <w:tcW w:w="2586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Коэффициент стабильности кадров, %</w:t>
            </w:r>
          </w:p>
        </w:tc>
        <w:tc>
          <w:tcPr>
            <w:tcW w:w="925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91,84</w:t>
            </w:r>
          </w:p>
        </w:tc>
        <w:tc>
          <w:tcPr>
            <w:tcW w:w="841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88,7</w:t>
            </w:r>
          </w:p>
        </w:tc>
        <w:tc>
          <w:tcPr>
            <w:tcW w:w="648" w:type="pct"/>
            <w:shd w:val="clear" w:color="auto" w:fill="auto"/>
          </w:tcPr>
          <w:p w:rsidR="00B94CE1" w:rsidRPr="00B94CE1" w:rsidRDefault="00B94CE1" w:rsidP="00B94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-3</w:t>
            </w:r>
            <w:r w:rsidRPr="00B94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,42</w:t>
            </w:r>
          </w:p>
        </w:tc>
      </w:tr>
    </w:tbl>
    <w:p w:rsidR="00B94CE1" w:rsidRPr="00B94CE1" w:rsidRDefault="00B94CE1" w:rsidP="00B94CE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B94CE1">
        <w:rPr>
          <w:rFonts w:ascii="Times New Roman" w:hAnsi="Times New Roman"/>
          <w:color w:val="000000" w:themeColor="text1"/>
          <w:sz w:val="28"/>
          <w:lang w:eastAsia="ru-RU"/>
        </w:rPr>
        <w:t xml:space="preserve">На основании данных таблицы можно сделать вывод о том, что среднесписочная численность работников ежегодно растет, в 2017 г. по сравнению с 2016г. +8,16%. Увеличивались и расходы на оплату труда, рост составил 23,77%. Удельный вес расходов на содержание персонала в выручке имеет наибольшее значении в 2016 году 41%, это связано с тем, что показатель выручки за этот период меньше чем в 2017 г. </w:t>
      </w:r>
    </w:p>
    <w:p w:rsidR="00B94CE1" w:rsidRPr="00B94CE1" w:rsidRDefault="00B94CE1" w:rsidP="00B94CE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B94CE1">
        <w:rPr>
          <w:rFonts w:ascii="Times New Roman" w:hAnsi="Times New Roman"/>
          <w:color w:val="000000" w:themeColor="text1"/>
          <w:sz w:val="28"/>
          <w:lang w:eastAsia="ru-RU"/>
        </w:rPr>
        <w:t xml:space="preserve">Удельный вес расходов на содержание персонала в общих расходах так же показывает наибольшее значение в 2016 году 41%, за этот период расходы организации были больше, чем доходы и по итогам года получен убыток в </w:t>
      </w:r>
      <w:r w:rsidRPr="00B94CE1">
        <w:rPr>
          <w:rFonts w:ascii="Times New Roman" w:hAnsi="Times New Roman"/>
          <w:color w:val="000000" w:themeColor="text1"/>
          <w:sz w:val="28"/>
          <w:lang w:eastAsia="ru-RU"/>
        </w:rPr>
        <w:lastRenderedPageBreak/>
        <w:t>сумме 625 т.ру. Все эти факторы оказали влияние на значение показателя. В 2017 году удельный вес составил всего 33%.</w:t>
      </w:r>
    </w:p>
    <w:p w:rsidR="00B94CE1" w:rsidRPr="00B94CE1" w:rsidRDefault="00B94CE1" w:rsidP="00B94CE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B94CE1">
        <w:rPr>
          <w:rFonts w:ascii="Times New Roman" w:hAnsi="Times New Roman"/>
          <w:color w:val="000000" w:themeColor="text1"/>
          <w:sz w:val="28"/>
          <w:lang w:eastAsia="ru-RU"/>
        </w:rPr>
        <w:t>На значение расчитанных в таблице коэффициентов оказывают влияние различные факторы, при увеличении числа принятых на работу человек растет значение коэффициента по приему, наибольшее значение в 2017 году-15,9%. Наибольшее количество уволенных работников в 2016 году и коэффициент выбытия имеет наибольшее значение 13,46%, а в 2017году - 6,0%. Этот показатель оказал влияние и на значение коэффициента текучести кадров, в 2016году он составил - 14,29%, в 2017году - 5,7%.</w:t>
      </w:r>
    </w:p>
    <w:p w:rsidR="00B94CE1" w:rsidRPr="00B94CE1" w:rsidRDefault="00B94CE1" w:rsidP="00B94CE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B94CE1">
        <w:rPr>
          <w:rFonts w:ascii="Times New Roman" w:hAnsi="Times New Roman"/>
          <w:color w:val="000000" w:themeColor="text1"/>
          <w:sz w:val="28"/>
          <w:lang w:eastAsia="ru-RU"/>
        </w:rPr>
        <w:t>Коэффициент стабильности кадров показывает, что доля сотрудников стабильно работающих в организации длительное время в 2016г. составила 91,84 а в 2017 году - 88,7%.</w:t>
      </w:r>
    </w:p>
    <w:p w:rsidR="00B94CE1" w:rsidRPr="00B94CE1" w:rsidRDefault="00B94CE1" w:rsidP="00B94CE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B94CE1">
        <w:rPr>
          <w:rFonts w:ascii="Times New Roman" w:hAnsi="Times New Roman"/>
          <w:color w:val="000000" w:themeColor="text1"/>
          <w:sz w:val="28"/>
          <w:lang w:eastAsia="ru-RU"/>
        </w:rPr>
        <w:t>Эти коэффициенты являются основными при анализе кадровой политики на предприятии и их необходимо оценивать в совокупности, чтобы иметь четкое представление о происходящем в организации.</w:t>
      </w:r>
    </w:p>
    <w:p w:rsidR="00B94CE1" w:rsidRPr="00B94CE1" w:rsidRDefault="00B94CE1" w:rsidP="00B9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94CE1">
        <w:rPr>
          <w:rFonts w:ascii="Times New Roman" w:hAnsi="Times New Roman" w:cs="Times New Roman"/>
          <w:sz w:val="28"/>
        </w:rPr>
        <w:t>Рассмотрев в совокупности различные показатели и коэффициенты финансово-хозяйственной деятельности организации, можно сделать вывод о том, что в 2017 году наблюдается положительная динамика в финансово хозяйственной деятельности организации, что характеризуется получением чистой прибыли и значительным увеличением доходов.</w:t>
      </w:r>
    </w:p>
    <w:p w:rsidR="00B94CE1" w:rsidRDefault="00B94CE1">
      <w:r>
        <w:br w:type="page"/>
      </w:r>
    </w:p>
    <w:p w:rsidR="00B94CE1" w:rsidRPr="008616E2" w:rsidRDefault="00B94CE1" w:rsidP="00B94CE1">
      <w:pPr>
        <w:keepNext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" w:name="_Toc479166177"/>
      <w:bookmarkStart w:id="12" w:name="_Toc516175705"/>
      <w:r w:rsidRPr="0086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35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6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Анализ </w:t>
      </w:r>
      <w:bookmarkEnd w:id="11"/>
      <w:r w:rsidR="002427FE" w:rsidRPr="0086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инвестиционной деятельности организации</w:t>
      </w:r>
      <w:bookmarkEnd w:id="12"/>
    </w:p>
    <w:p w:rsidR="002427FE" w:rsidRPr="00C91EB0" w:rsidRDefault="002427FE" w:rsidP="00350E6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4CE1" w:rsidRDefault="00C91EB0" w:rsidP="00C91E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направлением инвестиционной деятельности АО «Краснохолмское ДРСУ» является модернизация и обновление основных производственных фондов, что осуществляется за счет собственных средств предприятия и привлеченных (приобретение по договорам лизинга). Данное направление является приоритетным для организации т.к. большая часть основных средств используется длительное время и устарела морально и физически. На это указывает такой показатель как коэффициент износа основных средств приведенный</w:t>
      </w:r>
      <w:r w:rsidR="00350E61">
        <w:rPr>
          <w:rFonts w:ascii="Times New Roman" w:hAnsi="Times New Roman" w:cs="Times New Roman"/>
          <w:sz w:val="28"/>
          <w:szCs w:val="28"/>
        </w:rPr>
        <w:t xml:space="preserve"> в таблице 4.1.</w:t>
      </w:r>
    </w:p>
    <w:p w:rsidR="00C91EB0" w:rsidRPr="00C91EB0" w:rsidRDefault="00350E61" w:rsidP="00C91E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4.1</w:t>
      </w:r>
      <w:r w:rsidR="00C91EB0" w:rsidRPr="00C91EB0">
        <w:rPr>
          <w:rFonts w:ascii="Times New Roman" w:eastAsia="Calibri" w:hAnsi="Times New Roman" w:cs="Times New Roman"/>
          <w:sz w:val="28"/>
          <w:szCs w:val="28"/>
        </w:rPr>
        <w:t xml:space="preserve"> – Коэффициент износа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1777"/>
        <w:gridCol w:w="2069"/>
        <w:gridCol w:w="2414"/>
        <w:gridCol w:w="3485"/>
      </w:tblGrid>
      <w:tr w:rsidR="00C91EB0" w:rsidRPr="00C91EB0" w:rsidTr="00350E61">
        <w:trPr>
          <w:trHeight w:val="1367"/>
        </w:trPr>
        <w:tc>
          <w:tcPr>
            <w:tcW w:w="1900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132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Балансовая стоимость</w:t>
            </w:r>
          </w:p>
        </w:tc>
        <w:tc>
          <w:tcPr>
            <w:tcW w:w="2489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3685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Коэффициент износа</w:t>
            </w:r>
          </w:p>
        </w:tc>
      </w:tr>
      <w:tr w:rsidR="00C91EB0" w:rsidRPr="00C91EB0" w:rsidTr="00350E61">
        <w:trPr>
          <w:trHeight w:val="682"/>
        </w:trPr>
        <w:tc>
          <w:tcPr>
            <w:tcW w:w="1900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132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33980</w:t>
            </w:r>
          </w:p>
        </w:tc>
        <w:tc>
          <w:tcPr>
            <w:tcW w:w="2489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29899</w:t>
            </w:r>
          </w:p>
        </w:tc>
        <w:tc>
          <w:tcPr>
            <w:tcW w:w="3685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0,87</w:t>
            </w:r>
          </w:p>
        </w:tc>
      </w:tr>
      <w:tr w:rsidR="00C91EB0" w:rsidRPr="00C91EB0" w:rsidTr="00350E61">
        <w:trPr>
          <w:trHeight w:val="682"/>
        </w:trPr>
        <w:tc>
          <w:tcPr>
            <w:tcW w:w="1900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132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42928</w:t>
            </w:r>
          </w:p>
        </w:tc>
        <w:tc>
          <w:tcPr>
            <w:tcW w:w="2489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31313</w:t>
            </w:r>
          </w:p>
        </w:tc>
        <w:tc>
          <w:tcPr>
            <w:tcW w:w="3685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0,72</w:t>
            </w:r>
          </w:p>
        </w:tc>
      </w:tr>
      <w:tr w:rsidR="00C91EB0" w:rsidRPr="00C91EB0" w:rsidTr="00350E61">
        <w:trPr>
          <w:trHeight w:val="682"/>
        </w:trPr>
        <w:tc>
          <w:tcPr>
            <w:tcW w:w="1900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132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46703</w:t>
            </w:r>
          </w:p>
        </w:tc>
        <w:tc>
          <w:tcPr>
            <w:tcW w:w="2489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32112</w:t>
            </w:r>
          </w:p>
        </w:tc>
        <w:tc>
          <w:tcPr>
            <w:tcW w:w="3685" w:type="dxa"/>
            <w:vAlign w:val="center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0,68</w:t>
            </w:r>
          </w:p>
        </w:tc>
      </w:tr>
    </w:tbl>
    <w:p w:rsidR="00350E61" w:rsidRDefault="00350E61" w:rsidP="00C91E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1EB0" w:rsidRDefault="00C91EB0" w:rsidP="00C91E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E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05CCE" wp14:editId="10B50116">
            <wp:extent cx="6467475" cy="2762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E61" w:rsidRPr="00350E61" w:rsidRDefault="00350E61" w:rsidP="00350E6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4.1</w:t>
      </w:r>
      <w:r w:rsidRPr="00350E61">
        <w:rPr>
          <w:rFonts w:ascii="Times New Roman" w:eastAsia="Calibri" w:hAnsi="Times New Roman" w:cs="Times New Roman"/>
          <w:sz w:val="28"/>
          <w:szCs w:val="28"/>
        </w:rPr>
        <w:t xml:space="preserve"> – Диаграмма изменения коэффициента износа за 2015-2017 года</w:t>
      </w:r>
    </w:p>
    <w:p w:rsidR="00C91EB0" w:rsidRPr="00C91EB0" w:rsidRDefault="00C91EB0" w:rsidP="00C91EB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EB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данным таблицы и диаграммы видно, что наибольшее значение коэффициента в 2015 году к 2017 году коэффициент снизился до 0,68. Это связано с приобретением в 2017 году двух единиц дорожной техники, а также двух единиц специализированного оборудования к автомашине КАМАЗ для обслуживания дорог в зимний сезон. В дальнейшем предлагается приобретение погрузочно-разгрузочной техники </w:t>
      </w:r>
      <w:r w:rsidRPr="00C91EB0">
        <w:rPr>
          <w:rFonts w:ascii="Times New Roman" w:eastAsia="Calibri" w:hAnsi="Times New Roman" w:cs="Times New Roman"/>
          <w:sz w:val="28"/>
          <w:szCs w:val="28"/>
        </w:rPr>
        <w:softHyphen/>
        <w:t xml:space="preserve"> экскаватора и фронтального погрузчика, а также двух единиц грузовых автомашин КАМАЗ и дополнительного оборудования для содержания дорог зимой (это позволит наиболее эффективно эксплуатировать их и в зимний и в летний период). План закупки автотранспорта и строительной</w:t>
      </w:r>
      <w:r w:rsidR="00350E61">
        <w:rPr>
          <w:rFonts w:ascii="Times New Roman" w:eastAsia="Calibri" w:hAnsi="Times New Roman" w:cs="Times New Roman"/>
          <w:sz w:val="28"/>
          <w:szCs w:val="28"/>
        </w:rPr>
        <w:t xml:space="preserve"> техники представлен в таблице 4.2.</w:t>
      </w:r>
    </w:p>
    <w:p w:rsidR="00C91EB0" w:rsidRPr="00C91EB0" w:rsidRDefault="00350E61" w:rsidP="00350E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4.2 – План закупки автотранспорта и строительной техники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374"/>
        <w:gridCol w:w="3289"/>
        <w:gridCol w:w="3190"/>
      </w:tblGrid>
      <w:tr w:rsidR="00C91EB0" w:rsidRPr="00C91EB0" w:rsidTr="00350E61">
        <w:tc>
          <w:tcPr>
            <w:tcW w:w="3473" w:type="dxa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3474" w:type="dxa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367" w:type="dxa"/>
          </w:tcPr>
          <w:p w:rsidR="00C91EB0" w:rsidRPr="00C91EB0" w:rsidRDefault="00C91EB0" w:rsidP="00C91E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</w:p>
        </w:tc>
      </w:tr>
      <w:tr w:rsidR="00C91EB0" w:rsidRPr="00C91EB0" w:rsidTr="00350E61">
        <w:tc>
          <w:tcPr>
            <w:tcW w:w="3473" w:type="dxa"/>
          </w:tcPr>
          <w:p w:rsidR="00C91EB0" w:rsidRPr="00C91EB0" w:rsidRDefault="00C91EB0" w:rsidP="00C91E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Автотранспорт</w:t>
            </w:r>
          </w:p>
        </w:tc>
        <w:tc>
          <w:tcPr>
            <w:tcW w:w="3474" w:type="dxa"/>
          </w:tcPr>
          <w:p w:rsidR="00C91EB0" w:rsidRPr="00C91EB0" w:rsidRDefault="00C91EB0" w:rsidP="00C91E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3367" w:type="dxa"/>
          </w:tcPr>
          <w:p w:rsidR="00C91EB0" w:rsidRPr="00C91EB0" w:rsidRDefault="00C91EB0" w:rsidP="00C91E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2200</w:t>
            </w:r>
          </w:p>
        </w:tc>
      </w:tr>
      <w:tr w:rsidR="00C91EB0" w:rsidRPr="00C91EB0" w:rsidTr="00350E61">
        <w:tc>
          <w:tcPr>
            <w:tcW w:w="3473" w:type="dxa"/>
          </w:tcPr>
          <w:p w:rsidR="00C91EB0" w:rsidRPr="00C91EB0" w:rsidRDefault="00C91EB0" w:rsidP="00C91E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Машины и оборудование</w:t>
            </w:r>
          </w:p>
        </w:tc>
        <w:tc>
          <w:tcPr>
            <w:tcW w:w="3474" w:type="dxa"/>
          </w:tcPr>
          <w:p w:rsidR="00C91EB0" w:rsidRPr="00C91EB0" w:rsidRDefault="00C91EB0" w:rsidP="00C91E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3700</w:t>
            </w:r>
          </w:p>
        </w:tc>
        <w:tc>
          <w:tcPr>
            <w:tcW w:w="3367" w:type="dxa"/>
          </w:tcPr>
          <w:p w:rsidR="00C91EB0" w:rsidRPr="00C91EB0" w:rsidRDefault="00C91EB0" w:rsidP="00C91E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5200</w:t>
            </w:r>
          </w:p>
        </w:tc>
      </w:tr>
      <w:tr w:rsidR="00C91EB0" w:rsidRPr="00C91EB0" w:rsidTr="00350E61">
        <w:tc>
          <w:tcPr>
            <w:tcW w:w="3473" w:type="dxa"/>
          </w:tcPr>
          <w:p w:rsidR="00C91EB0" w:rsidRPr="00C91EB0" w:rsidRDefault="00C91EB0" w:rsidP="00C91E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474" w:type="dxa"/>
          </w:tcPr>
          <w:p w:rsidR="00C91EB0" w:rsidRPr="00C91EB0" w:rsidRDefault="00C91EB0" w:rsidP="00C91E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5900</w:t>
            </w:r>
          </w:p>
        </w:tc>
        <w:tc>
          <w:tcPr>
            <w:tcW w:w="3367" w:type="dxa"/>
          </w:tcPr>
          <w:p w:rsidR="00C91EB0" w:rsidRPr="00C91EB0" w:rsidRDefault="00C91EB0" w:rsidP="00C91E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EB0">
              <w:rPr>
                <w:rFonts w:ascii="Times New Roman" w:eastAsia="Calibri" w:hAnsi="Times New Roman" w:cs="Times New Roman"/>
                <w:sz w:val="28"/>
                <w:szCs w:val="28"/>
              </w:rPr>
              <w:t>7400</w:t>
            </w:r>
          </w:p>
        </w:tc>
      </w:tr>
    </w:tbl>
    <w:p w:rsidR="00C91EB0" w:rsidRPr="00C91EB0" w:rsidRDefault="00C91EB0" w:rsidP="00C91EB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EB0">
        <w:rPr>
          <w:rFonts w:ascii="Times New Roman" w:eastAsia="Calibri" w:hAnsi="Times New Roman" w:cs="Times New Roman"/>
          <w:sz w:val="28"/>
          <w:szCs w:val="28"/>
        </w:rPr>
        <w:t>В категории автотранспорт планируется приобрести автомобили «КАМАЗ» по 1 единице в каждом году, в категории машины и оборудование в 2018г. обновить парк погрузочной техники: купить экскаватор (1 ед.), а в 2019г. произвести замену автогрейдера (1ед.). Обновление основных производственных фондов окажет влияние на снижение коэффициента износа по сравнению с предшествующими годами. Выполнение этих мероприятий поможет снизить коэффициент износа основных средств как минимум до показателя в 50%.</w:t>
      </w:r>
    </w:p>
    <w:p w:rsidR="009D19AB" w:rsidRDefault="009D19AB" w:rsidP="009D19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9AB">
        <w:rPr>
          <w:rFonts w:ascii="Times New Roman" w:eastAsia="Calibri" w:hAnsi="Times New Roman" w:cs="Times New Roman"/>
          <w:sz w:val="28"/>
          <w:szCs w:val="28"/>
        </w:rPr>
        <w:t>Рассмотрим влияние и изменение стоимости основных фондов на эффективность их использования.</w:t>
      </w:r>
    </w:p>
    <w:p w:rsidR="00350E61" w:rsidRPr="009D19AB" w:rsidRDefault="00350E61" w:rsidP="00350E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4.3 – Эффективность использования основных фондов</w:t>
      </w:r>
    </w:p>
    <w:tbl>
      <w:tblPr>
        <w:tblStyle w:val="3"/>
        <w:tblW w:w="4949" w:type="pct"/>
        <w:tblLook w:val="04A0" w:firstRow="1" w:lastRow="0" w:firstColumn="1" w:lastColumn="0" w:noHBand="0" w:noVBand="1"/>
      </w:tblPr>
      <w:tblGrid>
        <w:gridCol w:w="3197"/>
        <w:gridCol w:w="1699"/>
        <w:gridCol w:w="1683"/>
        <w:gridCol w:w="8"/>
        <w:gridCol w:w="1755"/>
        <w:gridCol w:w="1410"/>
      </w:tblGrid>
      <w:tr w:rsidR="009D19AB" w:rsidRPr="009D19AB" w:rsidTr="00350E61">
        <w:tc>
          <w:tcPr>
            <w:tcW w:w="1639" w:type="pct"/>
          </w:tcPr>
          <w:p w:rsidR="009D19AB" w:rsidRPr="009D19AB" w:rsidRDefault="009D19AB" w:rsidP="009D1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734" w:type="pct"/>
            <w:gridSpan w:val="2"/>
          </w:tcPr>
          <w:p w:rsidR="009D19AB" w:rsidRPr="009D19AB" w:rsidRDefault="009D19AB" w:rsidP="009D1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  <w:tc>
          <w:tcPr>
            <w:tcW w:w="1627" w:type="pct"/>
            <w:gridSpan w:val="3"/>
          </w:tcPr>
          <w:p w:rsidR="009D19AB" w:rsidRPr="009D19AB" w:rsidRDefault="009D19AB" w:rsidP="009D1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Изменение показателя</w:t>
            </w:r>
          </w:p>
        </w:tc>
      </w:tr>
      <w:tr w:rsidR="009D19AB" w:rsidRPr="009D19AB" w:rsidTr="00350E61">
        <w:tc>
          <w:tcPr>
            <w:tcW w:w="1639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pct"/>
          </w:tcPr>
          <w:p w:rsidR="009D19AB" w:rsidRPr="009D19AB" w:rsidRDefault="009D19AB" w:rsidP="009D1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863" w:type="pct"/>
          </w:tcPr>
          <w:p w:rsidR="009D19AB" w:rsidRPr="009D19AB" w:rsidRDefault="009D19AB" w:rsidP="009D1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04" w:type="pct"/>
            <w:gridSpan w:val="2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Абсолютное</w:t>
            </w:r>
          </w:p>
        </w:tc>
        <w:tc>
          <w:tcPr>
            <w:tcW w:w="724" w:type="pct"/>
          </w:tcPr>
          <w:p w:rsidR="009D19AB" w:rsidRPr="009D19AB" w:rsidRDefault="009D19AB" w:rsidP="009D1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D19AB" w:rsidRPr="009D19AB" w:rsidTr="00350E61">
        <w:tc>
          <w:tcPr>
            <w:tcW w:w="1639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Выручка от реализации, тыс. руб.</w:t>
            </w:r>
          </w:p>
        </w:tc>
        <w:tc>
          <w:tcPr>
            <w:tcW w:w="871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39744</w:t>
            </w:r>
          </w:p>
        </w:tc>
        <w:tc>
          <w:tcPr>
            <w:tcW w:w="867" w:type="pct"/>
            <w:gridSpan w:val="2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62611</w:t>
            </w:r>
          </w:p>
        </w:tc>
        <w:tc>
          <w:tcPr>
            <w:tcW w:w="900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+22867</w:t>
            </w:r>
          </w:p>
        </w:tc>
        <w:tc>
          <w:tcPr>
            <w:tcW w:w="724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+57,53</w:t>
            </w:r>
          </w:p>
        </w:tc>
      </w:tr>
      <w:tr w:rsidR="009D19AB" w:rsidRPr="009D19AB" w:rsidTr="00350E61">
        <w:tc>
          <w:tcPr>
            <w:tcW w:w="1639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Прибыль от основной деятельности, тыс. руб.</w:t>
            </w:r>
          </w:p>
        </w:tc>
        <w:tc>
          <w:tcPr>
            <w:tcW w:w="871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-751</w:t>
            </w:r>
          </w:p>
        </w:tc>
        <w:tc>
          <w:tcPr>
            <w:tcW w:w="867" w:type="pct"/>
            <w:gridSpan w:val="2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2244</w:t>
            </w:r>
          </w:p>
        </w:tc>
        <w:tc>
          <w:tcPr>
            <w:tcW w:w="900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+2995</w:t>
            </w:r>
          </w:p>
        </w:tc>
        <w:tc>
          <w:tcPr>
            <w:tcW w:w="724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9AB" w:rsidRPr="009D19AB" w:rsidTr="00350E61">
        <w:tc>
          <w:tcPr>
            <w:tcW w:w="1639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Среднегодовая стоимость основных средств, тыс. руб.</w:t>
            </w:r>
          </w:p>
        </w:tc>
        <w:tc>
          <w:tcPr>
            <w:tcW w:w="871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38649</w:t>
            </w:r>
          </w:p>
        </w:tc>
        <w:tc>
          <w:tcPr>
            <w:tcW w:w="867" w:type="pct"/>
            <w:gridSpan w:val="2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44591</w:t>
            </w:r>
          </w:p>
        </w:tc>
        <w:tc>
          <w:tcPr>
            <w:tcW w:w="900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+5942</w:t>
            </w:r>
          </w:p>
        </w:tc>
        <w:tc>
          <w:tcPr>
            <w:tcW w:w="724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+15,37</w:t>
            </w:r>
          </w:p>
        </w:tc>
      </w:tr>
      <w:tr w:rsidR="009D19AB" w:rsidRPr="009D19AB" w:rsidTr="00350E61">
        <w:tc>
          <w:tcPr>
            <w:tcW w:w="1639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промышленно-производственного персонала, чел</w:t>
            </w:r>
          </w:p>
        </w:tc>
        <w:tc>
          <w:tcPr>
            <w:tcW w:w="871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67" w:type="pct"/>
            <w:gridSpan w:val="2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00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  <w:tc>
          <w:tcPr>
            <w:tcW w:w="724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+12,76</w:t>
            </w:r>
          </w:p>
        </w:tc>
      </w:tr>
      <w:tr w:rsidR="009D19AB" w:rsidRPr="009D19AB" w:rsidTr="00350E61">
        <w:tc>
          <w:tcPr>
            <w:tcW w:w="1639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Фондорентабельность, %</w:t>
            </w:r>
          </w:p>
        </w:tc>
        <w:tc>
          <w:tcPr>
            <w:tcW w:w="871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-1,94</w:t>
            </w:r>
          </w:p>
        </w:tc>
        <w:tc>
          <w:tcPr>
            <w:tcW w:w="867" w:type="pct"/>
            <w:gridSpan w:val="2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5,03</w:t>
            </w:r>
          </w:p>
        </w:tc>
        <w:tc>
          <w:tcPr>
            <w:tcW w:w="900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+6,97</w:t>
            </w:r>
          </w:p>
        </w:tc>
        <w:tc>
          <w:tcPr>
            <w:tcW w:w="724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+163,35</w:t>
            </w:r>
          </w:p>
        </w:tc>
      </w:tr>
      <w:tr w:rsidR="009D19AB" w:rsidRPr="009D19AB" w:rsidTr="00350E61">
        <w:tc>
          <w:tcPr>
            <w:tcW w:w="1639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Фондоотдача, руб.</w:t>
            </w:r>
          </w:p>
        </w:tc>
        <w:tc>
          <w:tcPr>
            <w:tcW w:w="871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867" w:type="pct"/>
            <w:gridSpan w:val="2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00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+0,4</w:t>
            </w:r>
          </w:p>
        </w:tc>
        <w:tc>
          <w:tcPr>
            <w:tcW w:w="724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+40</w:t>
            </w:r>
          </w:p>
        </w:tc>
      </w:tr>
      <w:tr w:rsidR="009D19AB" w:rsidRPr="009D19AB" w:rsidTr="00350E61">
        <w:tc>
          <w:tcPr>
            <w:tcW w:w="1639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Фондоемкость, руб.</w:t>
            </w:r>
          </w:p>
        </w:tc>
        <w:tc>
          <w:tcPr>
            <w:tcW w:w="871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67" w:type="pct"/>
            <w:gridSpan w:val="2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900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-0,25</w:t>
            </w:r>
          </w:p>
        </w:tc>
        <w:tc>
          <w:tcPr>
            <w:tcW w:w="724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-25,78</w:t>
            </w:r>
          </w:p>
        </w:tc>
      </w:tr>
      <w:tr w:rsidR="009D19AB" w:rsidRPr="009D19AB" w:rsidTr="00F73CEB">
        <w:trPr>
          <w:trHeight w:val="507"/>
        </w:trPr>
        <w:tc>
          <w:tcPr>
            <w:tcW w:w="1639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Фондовооруженность, тыс. руб.</w:t>
            </w:r>
          </w:p>
        </w:tc>
        <w:tc>
          <w:tcPr>
            <w:tcW w:w="871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822,3</w:t>
            </w:r>
          </w:p>
        </w:tc>
        <w:tc>
          <w:tcPr>
            <w:tcW w:w="867" w:type="pct"/>
            <w:gridSpan w:val="2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841,3</w:t>
            </w:r>
          </w:p>
        </w:tc>
        <w:tc>
          <w:tcPr>
            <w:tcW w:w="900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+19</w:t>
            </w:r>
          </w:p>
        </w:tc>
        <w:tc>
          <w:tcPr>
            <w:tcW w:w="724" w:type="pct"/>
          </w:tcPr>
          <w:p w:rsidR="009D19AB" w:rsidRPr="009D19AB" w:rsidRDefault="009D19AB" w:rsidP="009D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9AB">
              <w:rPr>
                <w:rFonts w:ascii="Times New Roman" w:hAnsi="Times New Roman" w:cs="Times New Roman"/>
                <w:sz w:val="28"/>
                <w:szCs w:val="28"/>
              </w:rPr>
              <w:t>+2,31</w:t>
            </w:r>
          </w:p>
        </w:tc>
      </w:tr>
    </w:tbl>
    <w:p w:rsidR="009D19AB" w:rsidRDefault="009D19AB" w:rsidP="009D1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данным таблицы видно, что увеличилась среднегодовая стоимость основных средств </w:t>
      </w:r>
      <w:r w:rsidR="00DB2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5942 тыс. руб. или на 15,37%, что положительно сказалось на эффективности использования основных производственных фондов.</w:t>
      </w:r>
    </w:p>
    <w:p w:rsidR="009D19AB" w:rsidRDefault="009D19AB" w:rsidP="009D1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 показателя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</w:t>
      </w:r>
      <w:r w:rsidRPr="009D19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ондорентабельность</w:t>
      </w:r>
      <w:r w:rsidRPr="009D1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динамике характеризует улучшение использования </w:t>
      </w:r>
      <w:hyperlink r:id="rId9" w:history="1">
        <w:r w:rsidRPr="009D19A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основных фондов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2017г. по сравнению с 2016г. Если в 2016г. он имел отрицательное значение, то в 2017г. составил 5,03%.</w:t>
      </w:r>
    </w:p>
    <w:p w:rsidR="00C91EB0" w:rsidRDefault="009D19AB" w:rsidP="009D1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Незначительно вырос показатель фондоотдачи в рассматриваемом периоде +0,4 тыс. руб., соответственно снизился показатель фондоемкости</w:t>
      </w:r>
      <w:r w:rsidRPr="009D1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0,25 тыс. руб.</w:t>
      </w:r>
    </w:p>
    <w:p w:rsidR="009D19AB" w:rsidRDefault="009D19AB" w:rsidP="009D1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Фондовооруженность выросла на 19 тыс. руб. с 822,3 тыс. руб. в 2016г. до 841,3 тыс. руб. в 2017г.</w:t>
      </w:r>
    </w:p>
    <w:p w:rsidR="00DB2A4A" w:rsidRPr="00DB2A4A" w:rsidRDefault="00350E61" w:rsidP="00DB2A4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Таблица 4.4 – </w:t>
      </w:r>
      <w:r w:rsidR="00DB2A4A" w:rsidRPr="00DB2A4A">
        <w:rPr>
          <w:rFonts w:ascii="Times New Roman" w:eastAsia="Calibri" w:hAnsi="Times New Roman" w:cs="Times New Roman"/>
          <w:sz w:val="28"/>
          <w:szCs w:val="28"/>
        </w:rPr>
        <w:t>Структура основных фондов АО «Краснохолмское ДРСУ»</w:t>
      </w:r>
    </w:p>
    <w:tbl>
      <w:tblPr>
        <w:tblStyle w:val="4"/>
        <w:tblW w:w="10314" w:type="dxa"/>
        <w:tblLook w:val="04A0" w:firstRow="1" w:lastRow="0" w:firstColumn="1" w:lastColumn="0" w:noHBand="0" w:noVBand="1"/>
      </w:tblPr>
      <w:tblGrid>
        <w:gridCol w:w="2629"/>
        <w:gridCol w:w="1954"/>
        <w:gridCol w:w="1954"/>
        <w:gridCol w:w="1954"/>
        <w:gridCol w:w="1823"/>
      </w:tblGrid>
      <w:tr w:rsidR="00DB2A4A" w:rsidRPr="00DB2A4A" w:rsidTr="00350E61">
        <w:trPr>
          <w:trHeight w:val="318"/>
        </w:trPr>
        <w:tc>
          <w:tcPr>
            <w:tcW w:w="2629" w:type="dxa"/>
            <w:vMerge w:val="restart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Виды основных фондов</w:t>
            </w:r>
          </w:p>
        </w:tc>
        <w:tc>
          <w:tcPr>
            <w:tcW w:w="3908" w:type="dxa"/>
            <w:gridSpan w:val="2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2016 </w:t>
            </w:r>
          </w:p>
        </w:tc>
        <w:tc>
          <w:tcPr>
            <w:tcW w:w="3777" w:type="dxa"/>
            <w:gridSpan w:val="2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</w:p>
        </w:tc>
      </w:tr>
      <w:tr w:rsidR="00DB2A4A" w:rsidRPr="00DB2A4A" w:rsidTr="00350E61">
        <w:trPr>
          <w:trHeight w:val="146"/>
        </w:trPr>
        <w:tc>
          <w:tcPr>
            <w:tcW w:w="2629" w:type="dxa"/>
            <w:vMerge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тыс. руб.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823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DB2A4A" w:rsidRPr="00DB2A4A" w:rsidTr="00350E61">
        <w:trPr>
          <w:trHeight w:val="318"/>
        </w:trPr>
        <w:tc>
          <w:tcPr>
            <w:tcW w:w="2629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Здания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2090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2090</w:t>
            </w:r>
          </w:p>
        </w:tc>
        <w:tc>
          <w:tcPr>
            <w:tcW w:w="1823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DB2A4A" w:rsidRPr="00DB2A4A" w:rsidTr="00350E61">
        <w:trPr>
          <w:trHeight w:val="334"/>
        </w:trPr>
        <w:tc>
          <w:tcPr>
            <w:tcW w:w="2629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Сооружения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  <w:tc>
          <w:tcPr>
            <w:tcW w:w="1823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DB2A4A" w:rsidRPr="00DB2A4A" w:rsidTr="00350E61">
        <w:trPr>
          <w:trHeight w:val="637"/>
        </w:trPr>
        <w:tc>
          <w:tcPr>
            <w:tcW w:w="2629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Машины и оборудование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19826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20352</w:t>
            </w:r>
          </w:p>
        </w:tc>
        <w:tc>
          <w:tcPr>
            <w:tcW w:w="1823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</w:tr>
      <w:tr w:rsidR="00DB2A4A" w:rsidRPr="00DB2A4A" w:rsidTr="00350E61">
        <w:trPr>
          <w:trHeight w:val="651"/>
        </w:trPr>
        <w:tc>
          <w:tcPr>
            <w:tcW w:w="2629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Транспортные средства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10388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13198</w:t>
            </w:r>
          </w:p>
        </w:tc>
        <w:tc>
          <w:tcPr>
            <w:tcW w:w="1823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</w:tr>
      <w:tr w:rsidR="00DB2A4A" w:rsidRPr="00DB2A4A" w:rsidTr="00350E61">
        <w:trPr>
          <w:trHeight w:val="637"/>
        </w:trPr>
        <w:tc>
          <w:tcPr>
            <w:tcW w:w="2629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Производственный инвентарь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823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DB2A4A" w:rsidRPr="00DB2A4A" w:rsidTr="00F73CEB">
        <w:trPr>
          <w:trHeight w:val="491"/>
        </w:trPr>
        <w:tc>
          <w:tcPr>
            <w:tcW w:w="2629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Земельные участки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8560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8560</w:t>
            </w:r>
          </w:p>
        </w:tc>
        <w:tc>
          <w:tcPr>
            <w:tcW w:w="1823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DB2A4A" w:rsidRPr="00DB2A4A" w:rsidTr="00350E61">
        <w:trPr>
          <w:trHeight w:val="334"/>
        </w:trPr>
        <w:tc>
          <w:tcPr>
            <w:tcW w:w="2629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Общая стоимость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42929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4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46253</w:t>
            </w:r>
          </w:p>
        </w:tc>
        <w:tc>
          <w:tcPr>
            <w:tcW w:w="1823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</w:tbl>
    <w:p w:rsidR="00DB2A4A" w:rsidRPr="00DB2A4A" w:rsidRDefault="00DB2A4A" w:rsidP="00DB2A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A4A">
        <w:rPr>
          <w:rFonts w:ascii="Times New Roman" w:eastAsia="Calibri" w:hAnsi="Times New Roman" w:cs="Times New Roman"/>
          <w:sz w:val="28"/>
          <w:szCs w:val="28"/>
        </w:rPr>
        <w:lastRenderedPageBreak/>
        <w:t>Структура основных фондов организации в 2017г. по сравнению с 2016г. изменилась в сторону увеличения только по транспортным средствам удельный вес вырос с 24% до 29%. По остальным видам основных средств произошло незначительное снижение. Так доля сооружений с 5% уменьшилась до 4%, машин и оборудования с 46% до 44%, а земельных участков с 20% до 18%. Удельный вес зданий остался на прежнем уровне. Изменение удельного веса по видам основных средств связано с приобретением в 2017 году транспортных средств.</w:t>
      </w:r>
    </w:p>
    <w:p w:rsidR="00DB2A4A" w:rsidRPr="00DB2A4A" w:rsidRDefault="00DB2A4A" w:rsidP="00DB2A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A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B0115" wp14:editId="0A257593">
            <wp:extent cx="6505575" cy="3419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99" cy="342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A4A" w:rsidRPr="00DB2A4A" w:rsidRDefault="00350E61" w:rsidP="00350E6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4.2 – Структура основных фондов за 2016г.</w:t>
      </w:r>
    </w:p>
    <w:p w:rsidR="00DB2A4A" w:rsidRPr="00DB2A4A" w:rsidRDefault="00DB2A4A" w:rsidP="00DB2A4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B2A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C2E17" wp14:editId="06211036">
            <wp:extent cx="6505575" cy="2752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17" cy="27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E61" w:rsidRDefault="00350E61" w:rsidP="00350E6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4.3 – Структура основных фондов за 2017г.</w:t>
      </w:r>
    </w:p>
    <w:p w:rsidR="00DB2A4A" w:rsidRPr="00DB2A4A" w:rsidRDefault="00350E61" w:rsidP="00DB2A4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Таблица 4.5 – </w:t>
      </w:r>
      <w:r w:rsidR="00DB2A4A" w:rsidRPr="00DB2A4A">
        <w:rPr>
          <w:rFonts w:ascii="Times New Roman" w:eastAsia="Calibri" w:hAnsi="Times New Roman" w:cs="Times New Roman"/>
          <w:sz w:val="28"/>
          <w:szCs w:val="28"/>
        </w:rPr>
        <w:t>Динамика производственных фондов</w:t>
      </w:r>
    </w:p>
    <w:tbl>
      <w:tblPr>
        <w:tblStyle w:val="3"/>
        <w:tblW w:w="10278" w:type="dxa"/>
        <w:tblLook w:val="04A0" w:firstRow="1" w:lastRow="0" w:firstColumn="1" w:lastColumn="0" w:noHBand="0" w:noVBand="1"/>
      </w:tblPr>
      <w:tblGrid>
        <w:gridCol w:w="775"/>
        <w:gridCol w:w="4528"/>
        <w:gridCol w:w="1718"/>
        <w:gridCol w:w="1561"/>
        <w:gridCol w:w="1696"/>
      </w:tblGrid>
      <w:tr w:rsidR="00DB2A4A" w:rsidRPr="00DB2A4A" w:rsidTr="00DB2A4A">
        <w:trPr>
          <w:trHeight w:val="676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Оклонение</w:t>
            </w:r>
          </w:p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+/-</w:t>
            </w:r>
          </w:p>
        </w:tc>
      </w:tr>
      <w:tr w:rsidR="00DB2A4A" w:rsidRPr="00DB2A4A" w:rsidTr="00DB2A4A">
        <w:trPr>
          <w:trHeight w:val="661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фонды на начало года тыс.руб.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33980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42929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+8949</w:t>
            </w:r>
          </w:p>
        </w:tc>
      </w:tr>
      <w:tr w:rsidR="00DB2A4A" w:rsidRPr="00DB2A4A" w:rsidTr="00DB2A4A">
        <w:trPr>
          <w:trHeight w:val="676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Поступило основных фондов тыс.руб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9009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4422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-4587</w:t>
            </w:r>
          </w:p>
        </w:tc>
      </w:tr>
      <w:tr w:rsidR="00DB2A4A" w:rsidRPr="00DB2A4A" w:rsidTr="00DB2A4A">
        <w:trPr>
          <w:trHeight w:val="661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Выбыло основных фондов тыс.руб.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1098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+1038</w:t>
            </w:r>
          </w:p>
        </w:tc>
      </w:tr>
      <w:tr w:rsidR="00DB2A4A" w:rsidRPr="00DB2A4A" w:rsidTr="00DB2A4A">
        <w:trPr>
          <w:trHeight w:val="676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фонды на конец года тыс.руб.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42929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46253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+3324</w:t>
            </w:r>
          </w:p>
        </w:tc>
      </w:tr>
      <w:tr w:rsidR="00DB2A4A" w:rsidRPr="00DB2A4A" w:rsidTr="00DB2A4A">
        <w:trPr>
          <w:trHeight w:val="676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Абсолютные изменения тыс.руб.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8949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3324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DB2A4A" w:rsidRPr="00DB2A4A" w:rsidTr="00DB2A4A">
        <w:trPr>
          <w:trHeight w:val="330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Темпы прироста %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26,3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-18,6</w:t>
            </w:r>
          </w:p>
        </w:tc>
      </w:tr>
      <w:tr w:rsidR="00DB2A4A" w:rsidRPr="00DB2A4A" w:rsidTr="00DB2A4A">
        <w:trPr>
          <w:trHeight w:val="330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Амортизация тыс.руб.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29899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31314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+1415</w:t>
            </w:r>
          </w:p>
        </w:tc>
      </w:tr>
      <w:tr w:rsidR="00DB2A4A" w:rsidRPr="00DB2A4A" w:rsidTr="00DB2A4A">
        <w:trPr>
          <w:trHeight w:val="661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Коэффициент обновления</w:t>
            </w:r>
          </w:p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стр.2/стр.4*100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-11,4</w:t>
            </w:r>
          </w:p>
        </w:tc>
      </w:tr>
      <w:tr w:rsidR="00DB2A4A" w:rsidRPr="00DB2A4A" w:rsidTr="00DB2A4A">
        <w:trPr>
          <w:trHeight w:val="676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Коэффициент выбытия</w:t>
            </w:r>
          </w:p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стр.3/стр.1*100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2,55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+2,38</w:t>
            </w:r>
          </w:p>
        </w:tc>
      </w:tr>
      <w:tr w:rsidR="00DB2A4A" w:rsidRPr="00DB2A4A" w:rsidTr="00DB2A4A">
        <w:trPr>
          <w:trHeight w:val="676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Коэффициент износа </w:t>
            </w:r>
          </w:p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стр.7/стр.1*100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88,0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73,0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-15</w:t>
            </w:r>
          </w:p>
        </w:tc>
      </w:tr>
      <w:tr w:rsidR="00DB2A4A" w:rsidRPr="00DB2A4A" w:rsidTr="00DB2A4A">
        <w:trPr>
          <w:trHeight w:val="661"/>
        </w:trPr>
        <w:tc>
          <w:tcPr>
            <w:tcW w:w="775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2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Коэффициент годности</w:t>
            </w:r>
          </w:p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100-стр.10</w:t>
            </w:r>
          </w:p>
        </w:tc>
        <w:tc>
          <w:tcPr>
            <w:tcW w:w="1718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1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6" w:type="dxa"/>
          </w:tcPr>
          <w:p w:rsidR="00DB2A4A" w:rsidRPr="00DB2A4A" w:rsidRDefault="00DB2A4A" w:rsidP="00DB2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2A4A">
              <w:rPr>
                <w:rFonts w:ascii="Times New Roman" w:eastAsia="Calibri" w:hAnsi="Times New Roman" w:cs="Times New Roman"/>
                <w:sz w:val="28"/>
                <w:szCs w:val="28"/>
              </w:rPr>
              <w:t>+15</w:t>
            </w:r>
          </w:p>
        </w:tc>
      </w:tr>
    </w:tbl>
    <w:p w:rsidR="00DB2A4A" w:rsidRPr="00DB2A4A" w:rsidRDefault="00DB2A4A" w:rsidP="00DB2A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данным таблицы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4.5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можно сделать вывод о том, что стоимость осн</w:t>
      </w:r>
      <w:r w:rsidR="002E2658">
        <w:rPr>
          <w:rFonts w:ascii="Times New Roman" w:eastAsia="Times New Roman" w:hAnsi="Times New Roman" w:cs="Times New Roman"/>
          <w:sz w:val="28"/>
          <w:szCs w:val="20"/>
          <w:lang w:eastAsia="ru-RU"/>
        </w:rPr>
        <w:t>овных фондов организации растет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так в 2016 году 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>абсолютное изменение составило 8949 т.руб., а темп прироста 26,3 %. Стоимость основных фондов на начало и конец 2017 года больше данных показателей за 2016 год, отклонение стоимости выбывших основных фондов к 2016 году +1038 т.руб.  В 2017 году показатель поступления основных фондов по сравнению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предыдущим годом уменьшился 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>на 4587 т.руб., что повлияло на снижение величины абсолютных изменений всего +33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>24 т.руб. и темпа прироста 7,7%, ниже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чем 2016 году на 18,6 пункта. </w:t>
      </w:r>
    </w:p>
    <w:p w:rsidR="00DB2A4A" w:rsidRPr="00DB2A4A" w:rsidRDefault="00350E61" w:rsidP="00DB2A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Сумма накопленной амортизации </w:t>
      </w:r>
      <w:r w:rsidR="00DB2A4A"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конец 2017 года составила 31314 т.руб., что на 1415 т.руб.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больше, чем на конец 2016 года</w:t>
      </w:r>
      <w:r w:rsidR="00DB2A4A"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>, изменение данного показат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еля </w:t>
      </w:r>
      <w:r w:rsidR="00DB2A4A"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складывается из разницы сумм начисленной за год амортизации и сумм износа по списанным основным средствам. </w:t>
      </w:r>
    </w:p>
    <w:p w:rsidR="00DB2A4A" w:rsidRPr="00DB2A4A" w:rsidRDefault="00DB2A4A" w:rsidP="00DB2A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Коэ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>ффициент обновления в 2016 году составлял 21%, в 2017 году всего 9,6%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снижение на 11,4 пункта , при снижении стоимости проступивших основных фондов уменьшается и значение показателя. Увеличение стоимости выбывших основных фондов повлекло за собой рост коэффициента выбытия 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>на 2,38 пункта с 0,17% до 2,55%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>, показания данного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коэффициента достаточно низкие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>, значит суммы потраченные на приобретение основных фондов незначительны. На это указывает и значение показателя коэффициенты износа он им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>еет достаточно высокие значения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88</w:t>
      </w:r>
      <w:r w:rsidR="00350E61">
        <w:rPr>
          <w:rFonts w:ascii="Times New Roman" w:eastAsia="Times New Roman" w:hAnsi="Times New Roman" w:cs="Times New Roman"/>
          <w:sz w:val="28"/>
          <w:szCs w:val="20"/>
          <w:lang w:eastAsia="ru-RU"/>
        </w:rPr>
        <w:t>% в 2016 году и 73% в 2017 году, снижение всего на15 пунктов</w:t>
      </w:r>
      <w:r w:rsidRPr="00DB2A4A">
        <w:rPr>
          <w:rFonts w:ascii="Times New Roman" w:eastAsia="Times New Roman" w:hAnsi="Times New Roman" w:cs="Times New Roman"/>
          <w:sz w:val="28"/>
          <w:szCs w:val="20"/>
          <w:lang w:eastAsia="ru-RU"/>
        </w:rPr>
        <w:t>. Обратно пропорционально вырос коэффициент готовности +15 пунктов, с 12 до 27.</w:t>
      </w:r>
    </w:p>
    <w:p w:rsidR="00DB2A4A" w:rsidRDefault="00DB2A4A" w:rsidP="009D1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DB2A4A" w:rsidRPr="00DB2A4A" w:rsidRDefault="00DB2A4A" w:rsidP="00DB2A4A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" w:name="_Toc513992660"/>
      <w:bookmarkStart w:id="14" w:name="_Toc516175706"/>
      <w:r w:rsidRPr="00DB2A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  <w:bookmarkEnd w:id="13"/>
      <w:bookmarkEnd w:id="14"/>
    </w:p>
    <w:p w:rsidR="00DB2A4A" w:rsidRPr="00DB2A4A" w:rsidRDefault="00DB2A4A" w:rsidP="00DB2A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2A4A" w:rsidRPr="00DB2A4A" w:rsidRDefault="00DB2A4A" w:rsidP="00DB2A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2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выполнения отчета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преддипломной </w:t>
      </w:r>
      <w:r w:rsidRPr="00DB2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практике был выполнен анализ деятельности предприятия </w:t>
      </w:r>
      <w:r w:rsidRPr="00DB2A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АО «Краснохолмское ДРСУ». Были проанализированы: бухгалтерский баланс, основные показатели деятельности и рентабельности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организационная структура, инвестиционная деятельность, эффективность использования основных производственных фондов</w:t>
      </w:r>
      <w:r w:rsidRPr="00DB2A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DB2A4A" w:rsidRDefault="00DB2A4A" w:rsidP="00DB2A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2A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основе данных анализа можно увидеть, что по итогам работы за 2017 год получена чистая прибыль в сумме 2025 тыс. руб., а за 2016 год убыток в сумме 625 тыс. руб. Сравнительный анализ финансово-экономической деятельности предприятия за 2016-2017 годы показывает рост основных показателей таких как выручка, прибыль до налогообложения, чистая прибыль.</w:t>
      </w:r>
    </w:p>
    <w:p w:rsidR="002E2658" w:rsidRDefault="002E2658" w:rsidP="00DB2A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Показатели рентабельности продаж и продукции в 2017г. значительно выросли по сравнению с 2016г. Рост показателя рентабельности продаж вырос с -1,88% до 5,06%, а показатель рентабельности продукции увеличился с 1,85% до 5,33%.</w:t>
      </w:r>
    </w:p>
    <w:p w:rsidR="00E114E0" w:rsidRDefault="00E114E0" w:rsidP="00DB2A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Анализ использования трудовых ресурсов показал, что положительная динамика складывается по показателю среднемесячной заработной платы, выработки на одного работника.</w:t>
      </w:r>
    </w:p>
    <w:p w:rsidR="00DF5EBA" w:rsidRDefault="00DF5EBA" w:rsidP="00DB2A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Основные производственные фонды организации выросли по сравнению с 2016г. на 3324 тыс. руб, что оказало положительное влияние на среднегодовую стоимость и рост коэффициентов их использования.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 xml:space="preserve">Оценивая эффективность организации, можно отметить, что в компании следует провести определенные изменения, несмотря на то что в целом большинство финансово-экономических показателей с каждым годом постепенно растет. 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>Предлагаемые мероприятия: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 xml:space="preserve">1. Участие организации в торгах на заключение контракта на содержание и ремонт а/д 1 и 2 класса в Краснохолмском районе (при условии проведения </w:t>
      </w:r>
      <w:r w:rsidRPr="00E114E0">
        <w:rPr>
          <w:rFonts w:ascii="Times New Roman" w:eastAsia="Calibri" w:hAnsi="Times New Roman" w:cs="Times New Roman"/>
          <w:sz w:val="28"/>
          <w:szCs w:val="28"/>
        </w:rPr>
        <w:lastRenderedPageBreak/>
        <w:t>аукционов не по округам, а по районам, что позволяет раци</w:t>
      </w:r>
      <w:r w:rsidR="00F73CEB">
        <w:rPr>
          <w:rFonts w:ascii="Times New Roman" w:eastAsia="Calibri" w:hAnsi="Times New Roman" w:cs="Times New Roman"/>
          <w:sz w:val="28"/>
          <w:szCs w:val="28"/>
        </w:rPr>
        <w:t xml:space="preserve">онально использовать бюджетные </w:t>
      </w:r>
      <w:r w:rsidRPr="00E114E0">
        <w:rPr>
          <w:rFonts w:ascii="Times New Roman" w:eastAsia="Calibri" w:hAnsi="Times New Roman" w:cs="Times New Roman"/>
          <w:sz w:val="28"/>
          <w:szCs w:val="28"/>
        </w:rPr>
        <w:t>средства, ликвидировать прослойку  посредников).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>2. Приобретение современной дорожной строительной техники в лизинг, что позволит повысить качество работ, снизить затраты на ремонт и содержание техники.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>3. В связи с повышением требований к качеству производимых работ, необходимостью внедрения новых технологий, осуществлять обучение и переподготовку кадров организации.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>4. Разработка сайта организации способствует повышению информированности и привлечению потенциальных инвесторов. Информация размещаемая на сайте о видах деятельности организации, стоимости производимых ею работ и услуг, а также перечня реализуемых дорожно-строительных материалов позволит спрогнозировать увеличение доходов и повышение конкурентоспособности.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>5. Проведение закупок строительных материалов, ГСМ путем проведения запроса котировок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 xml:space="preserve">6. Проведение инвентаризации имущества, списание неиспользуемого имущества 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>7. Обновление парка автотранспорта, оборудования, приобретение техники в лизинг (ед)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>8. Модернизация асфальтобетонного завода (тонн)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>9. Реализация работ, услуг, материалов по прямым договорам</w:t>
      </w:r>
    </w:p>
    <w:p w:rsid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4E0">
        <w:rPr>
          <w:rFonts w:ascii="Times New Roman" w:eastAsia="Calibri" w:hAnsi="Times New Roman" w:cs="Times New Roman"/>
          <w:sz w:val="28"/>
          <w:szCs w:val="28"/>
        </w:rPr>
        <w:t>Проведение рекомендованных мероприятий позволит АО «Краснохолмское ДРСУ» повысить свою эффективность и конкурентоспособность.</w:t>
      </w:r>
    </w:p>
    <w:p w:rsidR="00E114E0" w:rsidRPr="00DB2A4A" w:rsidRDefault="00E114E0" w:rsidP="00E114E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2A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Положительная динамика экономического развития предприятия сохраняет эффективность финансово-хозяйственной деятельности в целом и имеет условия для дальнейшего развития.</w:t>
      </w:r>
    </w:p>
    <w:p w:rsidR="00E114E0" w:rsidRPr="00E114E0" w:rsidRDefault="00E114E0" w:rsidP="00E114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E61" w:rsidRDefault="00350E61" w:rsidP="00350E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50E61" w:rsidRPr="00350E61" w:rsidRDefault="00350E61" w:rsidP="00350E61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theme="majorBidi"/>
          <w:b/>
          <w:bCs/>
          <w:color w:val="000000" w:themeColor="text1"/>
          <w:sz w:val="28"/>
          <w:szCs w:val="28"/>
          <w:lang w:eastAsia="ru-RU"/>
        </w:rPr>
      </w:pPr>
      <w:bookmarkStart w:id="15" w:name="_Toc514792128"/>
      <w:bookmarkStart w:id="16" w:name="_Toc514792293"/>
      <w:bookmarkStart w:id="17" w:name="_Toc516175707"/>
      <w:r w:rsidRPr="00350E61">
        <w:rPr>
          <w:rFonts w:ascii="Times New Roman" w:eastAsia="Times New Roman" w:hAnsi="Times New Roman" w:cstheme="majorBidi"/>
          <w:b/>
          <w:bCs/>
          <w:color w:val="000000" w:themeColor="text1"/>
          <w:sz w:val="28"/>
          <w:szCs w:val="28"/>
          <w:lang w:eastAsia="ru-RU"/>
        </w:rPr>
        <w:lastRenderedPageBreak/>
        <w:t>БИБЛИОГРАФИЧЕСКИЙ СПИСОК</w:t>
      </w:r>
      <w:bookmarkEnd w:id="15"/>
      <w:bookmarkEnd w:id="16"/>
      <w:bookmarkEnd w:id="17"/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color w:val="000000" w:themeColor="text1"/>
          <w:sz w:val="28"/>
          <w:lang w:eastAsia="ru-RU"/>
        </w:rPr>
        <w:t>1. Гражданский кодекс Российской Федерации. – Информационно-справочная система «Гарант». – 2014.</w:t>
      </w:r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color w:val="000000" w:themeColor="text1"/>
          <w:sz w:val="28"/>
          <w:lang w:eastAsia="ru-RU"/>
        </w:rPr>
        <w:t>2. Федеральный закон Рос. Федерации О защите прав потребителей: №2300-1 от 07.02.1992 г. – Информационно-справочная система «Гарант». – 2014.</w:t>
      </w:r>
      <w:bookmarkStart w:id="18" w:name="_GoBack"/>
      <w:bookmarkEnd w:id="18"/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color w:val="000000" w:themeColor="text1"/>
          <w:sz w:val="28"/>
          <w:lang w:eastAsia="ru-RU"/>
        </w:rPr>
        <w:t>3. Федеральный закон от 28 декабря 2009 г. N 381-ФЗ "Об основах государственного регулирования торговой деятельности в Российской Федерации". – Информационно-справочная система «Гарант». – 2014.</w:t>
      </w:r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color w:val="000000" w:themeColor="text1"/>
          <w:sz w:val="28"/>
          <w:lang w:eastAsia="ru-RU"/>
        </w:rPr>
        <w:t>4. О техническом регулировании: Федеральный Закон Рос. Федерации от 27.12.2002 г. №184-ФЗ. – Информационно-справочная система «Гарант». – 2014.</w:t>
      </w:r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color w:val="000000" w:themeColor="text1"/>
          <w:sz w:val="28"/>
          <w:lang w:eastAsia="ru-RU"/>
        </w:rPr>
        <w:t>5. Организация документооборота: [Электронный ресурс]: Энциклопедия делопроизводства – Свободный доступ из сети Интернет. – http://www.edou.ru/enc/razdel31/?COURSE_ID=5&amp;LESSON_ID=107</w:t>
      </w:r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color w:val="000000" w:themeColor="text1"/>
          <w:sz w:val="28"/>
          <w:lang w:eastAsia="ru-RU"/>
        </w:rPr>
        <w:t>6. Работа с документами: [Электронный ресурс]: Основы делопроизводства – Свободный доступ из сети Интернет. – http://www.grandars.ru/college/pravovedenie/dokumentooborot.html</w:t>
      </w:r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color w:val="000000" w:themeColor="text1"/>
          <w:sz w:val="28"/>
          <w:lang w:eastAsia="ru-RU"/>
        </w:rPr>
        <w:t>7. Паламарчук А. С. Экономика предприятия: Учебник / А.С. Паламарчук. – М.: ИНФРА-М, 2010. – 458 с.: 60x90 1/16. – (Высшее образование). (переплет) ISBN 978-5-16-003883-4, 500 экз. – [Электронный ресурс]: Электронная библиотеч-ная система «ИНФРА-М». – Режим доступа: www.znanium.com.</w:t>
      </w:r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color w:val="000000" w:themeColor="text1"/>
          <w:sz w:val="28"/>
          <w:lang w:eastAsia="ru-RU"/>
        </w:rPr>
        <w:t>8. Сафронов Н. А. Экономика организации (предприятия): Учебник для ср. спец. учебных заведений / Н.А. Сафронов. – 2-e изд., с изм. – М.: Магистр, 2008. – 255 с.: 60x90 1/16. (переплет) ISBN 978-5-9776-0059-0, 2000 экз. – [Электронный ресурс]: Электронная библиотечная система «ИНФРА-М». – Режим доступа: www.znanium.com.</w:t>
      </w:r>
    </w:p>
    <w:p w:rsidR="00350E61" w:rsidRPr="00350E61" w:rsidRDefault="00350E61" w:rsidP="00350E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</w:p>
    <w:p w:rsidR="00350E61" w:rsidRPr="00350E61" w:rsidRDefault="00350E61" w:rsidP="00350E61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  <w:lang w:eastAsia="ru-RU"/>
        </w:rPr>
      </w:pPr>
      <w:bookmarkStart w:id="19" w:name="_Toc514792129"/>
      <w:bookmarkStart w:id="20" w:name="_Toc514792294"/>
      <w:bookmarkStart w:id="21" w:name="_Toc516175708"/>
      <w:r w:rsidRPr="00350E61"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А</w:t>
      </w:r>
      <w:bookmarkEnd w:id="19"/>
      <w:bookmarkEnd w:id="20"/>
      <w:bookmarkEnd w:id="21"/>
    </w:p>
    <w:p w:rsidR="00350E61" w:rsidRPr="00350E61" w:rsidRDefault="00350E61" w:rsidP="00350E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noProof/>
          <w:color w:val="000000" w:themeColor="text1"/>
          <w:sz w:val="28"/>
          <w:lang w:eastAsia="ru-RU"/>
        </w:rPr>
        <w:drawing>
          <wp:inline distT="0" distB="0" distL="0" distR="0" wp14:anchorId="110E7971" wp14:editId="7355925B">
            <wp:extent cx="6305550" cy="868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E61" w:rsidRPr="00350E61" w:rsidRDefault="00350E61" w:rsidP="00350E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</w:p>
    <w:p w:rsidR="00350E61" w:rsidRPr="00350E61" w:rsidRDefault="00350E61" w:rsidP="00350E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noProof/>
          <w:color w:val="000000" w:themeColor="text1"/>
          <w:sz w:val="28"/>
          <w:lang w:eastAsia="ru-RU"/>
        </w:rPr>
        <w:drawing>
          <wp:inline distT="0" distB="0" distL="0" distR="0" wp14:anchorId="34DC90A4" wp14:editId="0CA5A67E">
            <wp:extent cx="6118860" cy="887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73" cy="88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61" w:rsidRPr="00350E61" w:rsidRDefault="00350E61" w:rsidP="00350E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</w:p>
    <w:p w:rsidR="00350E61" w:rsidRPr="00350E61" w:rsidRDefault="00350E61" w:rsidP="00350E61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  <w:lang w:eastAsia="ru-RU"/>
        </w:rPr>
      </w:pPr>
      <w:bookmarkStart w:id="22" w:name="_Toc514792130"/>
      <w:bookmarkStart w:id="23" w:name="_Toc514792295"/>
      <w:bookmarkStart w:id="24" w:name="_Toc516175709"/>
      <w:r w:rsidRPr="00350E61"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  <w:lang w:eastAsia="ru-RU"/>
        </w:rPr>
        <w:t>ПРИЛОЖЕНИЕ Б</w:t>
      </w:r>
      <w:bookmarkEnd w:id="22"/>
      <w:bookmarkEnd w:id="23"/>
      <w:bookmarkEnd w:id="24"/>
    </w:p>
    <w:p w:rsidR="00350E61" w:rsidRPr="00350E61" w:rsidRDefault="00350E61" w:rsidP="00350E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noProof/>
          <w:color w:val="000000" w:themeColor="text1"/>
          <w:sz w:val="28"/>
          <w:lang w:eastAsia="ru-RU"/>
        </w:rPr>
        <w:drawing>
          <wp:inline distT="0" distB="0" distL="0" distR="0" wp14:anchorId="49F0EB1E" wp14:editId="3A78B258">
            <wp:extent cx="6119495" cy="591900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9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61" w:rsidRPr="00350E61" w:rsidRDefault="00350E61" w:rsidP="00350E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color w:val="000000" w:themeColor="text1"/>
          <w:sz w:val="28"/>
          <w:lang w:eastAsia="ru-RU"/>
        </w:rPr>
        <w:br w:type="page"/>
      </w:r>
    </w:p>
    <w:p w:rsidR="00350E61" w:rsidRPr="00350E61" w:rsidRDefault="00350E61" w:rsidP="00350E61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  <w:lang w:eastAsia="ru-RU"/>
        </w:rPr>
      </w:pPr>
      <w:bookmarkStart w:id="25" w:name="_Toc514792131"/>
      <w:bookmarkStart w:id="26" w:name="_Toc514792296"/>
      <w:bookmarkStart w:id="27" w:name="_Toc516175710"/>
      <w:r w:rsidRPr="00350E61"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В</w:t>
      </w:r>
      <w:bookmarkEnd w:id="25"/>
      <w:bookmarkEnd w:id="26"/>
      <w:bookmarkEnd w:id="27"/>
    </w:p>
    <w:p w:rsidR="00350E61" w:rsidRPr="00350E61" w:rsidRDefault="00350E61" w:rsidP="00350E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lang w:eastAsia="ru-RU"/>
        </w:rPr>
      </w:pPr>
      <w:r w:rsidRPr="00350E61">
        <w:rPr>
          <w:rFonts w:ascii="Times New Roman" w:hAnsi="Times New Roman"/>
          <w:noProof/>
          <w:color w:val="000000" w:themeColor="text1"/>
          <w:sz w:val="28"/>
          <w:lang w:eastAsia="ru-RU"/>
        </w:rPr>
        <w:drawing>
          <wp:inline distT="0" distB="0" distL="0" distR="0" wp14:anchorId="435EA8A5" wp14:editId="21789125">
            <wp:extent cx="6118860" cy="864488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44" cy="86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61" w:rsidRPr="00350E61" w:rsidRDefault="00350E61" w:rsidP="00350E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lang w:eastAsia="ru-RU"/>
        </w:rPr>
        <w:sectPr w:rsidR="00350E61" w:rsidRPr="00350E61" w:rsidSect="000B3027">
          <w:footerReference w:type="default" r:id="rId16"/>
          <w:pgSz w:w="11906" w:h="16838"/>
          <w:pgMar w:top="1134" w:right="851" w:bottom="1134" w:left="1418" w:header="709" w:footer="709" w:gutter="0"/>
          <w:cols w:space="708"/>
          <w:titlePg/>
          <w:docGrid w:linePitch="381"/>
        </w:sectPr>
      </w:pPr>
      <w:r w:rsidRPr="00350E61">
        <w:rPr>
          <w:rFonts w:ascii="Times New Roman" w:hAnsi="Times New Roman"/>
          <w:noProof/>
          <w:color w:val="000000" w:themeColor="text1"/>
          <w:sz w:val="28"/>
          <w:lang w:eastAsia="ru-RU"/>
        </w:rPr>
        <w:lastRenderedPageBreak/>
        <w:drawing>
          <wp:inline distT="0" distB="0" distL="0" distR="0" wp14:anchorId="2964EBB2" wp14:editId="1FB2C86F">
            <wp:extent cx="6119165" cy="824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15" cy="82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4A" w:rsidRPr="009D19AB" w:rsidRDefault="00DB2A4A" w:rsidP="00350E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B2A4A" w:rsidRPr="009D19AB" w:rsidSect="008616E2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6E2" w:rsidRDefault="008616E2" w:rsidP="009F4EBB">
      <w:pPr>
        <w:spacing w:after="0" w:line="240" w:lineRule="auto"/>
      </w:pPr>
      <w:r>
        <w:separator/>
      </w:r>
    </w:p>
  </w:endnote>
  <w:endnote w:type="continuationSeparator" w:id="0">
    <w:p w:rsidR="008616E2" w:rsidRDefault="008616E2" w:rsidP="009F4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7181614"/>
      <w:docPartObj>
        <w:docPartGallery w:val="Page Numbers (Bottom of Page)"/>
        <w:docPartUnique/>
      </w:docPartObj>
    </w:sdtPr>
    <w:sdtEndPr/>
    <w:sdtContent>
      <w:p w:rsidR="00350E61" w:rsidRDefault="00350E6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113">
          <w:rPr>
            <w:noProof/>
          </w:rPr>
          <w:t>2</w:t>
        </w:r>
        <w:r>
          <w:fldChar w:fldCharType="end"/>
        </w:r>
      </w:p>
    </w:sdtContent>
  </w:sdt>
  <w:p w:rsidR="00350E61" w:rsidRDefault="00350E6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6E2" w:rsidRDefault="008616E2" w:rsidP="009F4EBB">
      <w:pPr>
        <w:spacing w:after="0" w:line="240" w:lineRule="auto"/>
      </w:pPr>
      <w:r>
        <w:separator/>
      </w:r>
    </w:p>
  </w:footnote>
  <w:footnote w:type="continuationSeparator" w:id="0">
    <w:p w:rsidR="008616E2" w:rsidRDefault="008616E2" w:rsidP="009F4EBB">
      <w:pPr>
        <w:spacing w:after="0" w:line="240" w:lineRule="auto"/>
      </w:pPr>
      <w:r>
        <w:continuationSeparator/>
      </w:r>
    </w:p>
  </w:footnote>
  <w:footnote w:id="1">
    <w:p w:rsidR="008616E2" w:rsidRPr="00DB5429" w:rsidRDefault="008616E2" w:rsidP="009F4EBB">
      <w:pPr>
        <w:pStyle w:val="a3"/>
        <w:rPr>
          <w:sz w:val="24"/>
          <w:szCs w:val="24"/>
        </w:rPr>
      </w:pPr>
      <w:r w:rsidRPr="00DB5429">
        <w:rPr>
          <w:rStyle w:val="a5"/>
          <w:sz w:val="24"/>
          <w:szCs w:val="24"/>
        </w:rPr>
        <w:footnoteRef/>
      </w:r>
      <w:r w:rsidRPr="00DB5429">
        <w:rPr>
          <w:sz w:val="24"/>
          <w:szCs w:val="24"/>
        </w:rPr>
        <w:t xml:space="preserve"> </w:t>
      </w:r>
      <w:r w:rsidRPr="00EB23C4">
        <w:rPr>
          <w:sz w:val="24"/>
          <w:szCs w:val="24"/>
        </w:rPr>
        <w:t>Экономический анализ и его роль в управлении организацией – [Электронный ресурс] – Режим доступа: http://www.grandars.ru/college/ekonomika-firmy/hozyaystvennaya-deyatelnost-predpriyatiy.html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942986"/>
    <w:multiLevelType w:val="hybridMultilevel"/>
    <w:tmpl w:val="54F82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CB2"/>
    <w:rsid w:val="000C0CB2"/>
    <w:rsid w:val="001E0038"/>
    <w:rsid w:val="00203556"/>
    <w:rsid w:val="002427FE"/>
    <w:rsid w:val="002E2658"/>
    <w:rsid w:val="00350E61"/>
    <w:rsid w:val="003E0113"/>
    <w:rsid w:val="008616E2"/>
    <w:rsid w:val="009D19AB"/>
    <w:rsid w:val="009F4EBB"/>
    <w:rsid w:val="00B94CE1"/>
    <w:rsid w:val="00C91EB0"/>
    <w:rsid w:val="00DB2A4A"/>
    <w:rsid w:val="00DF5EBA"/>
    <w:rsid w:val="00E114E0"/>
    <w:rsid w:val="00F7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7DBDE6-3E05-4B9C-BDBE-B7DA7BFC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16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F4EB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F4EBB"/>
    <w:rPr>
      <w:sz w:val="20"/>
      <w:szCs w:val="20"/>
    </w:rPr>
  </w:style>
  <w:style w:type="character" w:styleId="a5">
    <w:name w:val="footnote reference"/>
    <w:uiPriority w:val="99"/>
    <w:semiHidden/>
    <w:unhideWhenUsed/>
    <w:rsid w:val="009F4EBB"/>
    <w:rPr>
      <w:vertAlign w:val="superscript"/>
    </w:rPr>
  </w:style>
  <w:style w:type="table" w:customStyle="1" w:styleId="11">
    <w:name w:val="Сетка таблицы1"/>
    <w:basedOn w:val="a1"/>
    <w:next w:val="a6"/>
    <w:uiPriority w:val="39"/>
    <w:rsid w:val="00C91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C91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9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1EB0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6"/>
    <w:uiPriority w:val="59"/>
    <w:rsid w:val="00C91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39"/>
    <w:rsid w:val="009D1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DB2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616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footer"/>
    <w:basedOn w:val="a"/>
    <w:link w:val="aa"/>
    <w:uiPriority w:val="99"/>
    <w:unhideWhenUsed/>
    <w:rsid w:val="00350E61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character" w:customStyle="1" w:styleId="aa">
    <w:name w:val="Нижний колонтитул Знак"/>
    <w:basedOn w:val="a0"/>
    <w:link w:val="a9"/>
    <w:uiPriority w:val="99"/>
    <w:rsid w:val="00350E61"/>
    <w:rPr>
      <w:rFonts w:ascii="Times New Roman" w:hAnsi="Times New Roman"/>
      <w:color w:val="000000" w:themeColor="text1"/>
      <w:sz w:val="28"/>
    </w:rPr>
  </w:style>
  <w:style w:type="paragraph" w:styleId="ab">
    <w:name w:val="TOC Heading"/>
    <w:basedOn w:val="1"/>
    <w:next w:val="a"/>
    <w:uiPriority w:val="39"/>
    <w:unhideWhenUsed/>
    <w:qFormat/>
    <w:rsid w:val="00F73CEB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73CE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F73CEB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F73CE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F73C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1-fin.ru/?id=281&amp;t=331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81175-0872-4B33-8461-5E9F1722E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29</Pages>
  <Words>4142</Words>
  <Characters>23612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Никита</cp:lastModifiedBy>
  <cp:revision>4</cp:revision>
  <dcterms:created xsi:type="dcterms:W3CDTF">2018-06-06T15:24:00Z</dcterms:created>
  <dcterms:modified xsi:type="dcterms:W3CDTF">2018-06-08T07:30:00Z</dcterms:modified>
</cp:coreProperties>
</file>