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8310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>МИНИСТЕРСТВО ОБРАЗОВАНИЯ И НАУКИ</w:t>
      </w:r>
    </w:p>
    <w:p w14:paraId="658DC75D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B2630BA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>«ТВЕРСКОЙ ГОСУДАРСТВЕННЫЙ УНИВЕРСИТЕТ»</w:t>
      </w:r>
    </w:p>
    <w:p w14:paraId="5327FF4C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</w:p>
    <w:p w14:paraId="4079FB7F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>ЮРИДИЧЕСКИЙ ФАКУЛЬТЕТ</w:t>
      </w:r>
    </w:p>
    <w:p w14:paraId="22B21EC4" w14:textId="77777777" w:rsidR="00AB5BC3" w:rsidRPr="005E562F" w:rsidRDefault="00AB5BC3" w:rsidP="00AB5BC3"/>
    <w:p w14:paraId="265300B3" w14:textId="3E9402D4" w:rsidR="00AB5BC3" w:rsidRPr="005E562F" w:rsidRDefault="00AB5BC3" w:rsidP="00436CC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 xml:space="preserve">КАФЕДРА ГРАЖДАНСКОГО </w:t>
      </w:r>
      <w:r w:rsidR="00436CCB">
        <w:rPr>
          <w:b/>
          <w:sz w:val="24"/>
          <w:szCs w:val="24"/>
        </w:rPr>
        <w:t xml:space="preserve">ПРОЦЕССА И ПРАВООХРАНИТЕЛЬНОЙ ДЕЯТЕЛЬНОСТИ </w:t>
      </w:r>
    </w:p>
    <w:p w14:paraId="594E8F0B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 xml:space="preserve"> </w:t>
      </w:r>
    </w:p>
    <w:p w14:paraId="35D285CB" w14:textId="77777777" w:rsidR="00AB5BC3" w:rsidRPr="005E562F" w:rsidRDefault="00AB5BC3" w:rsidP="00AB5BC3">
      <w:pPr>
        <w:spacing w:line="240" w:lineRule="auto"/>
        <w:jc w:val="center"/>
        <w:rPr>
          <w:b/>
          <w:sz w:val="24"/>
          <w:szCs w:val="24"/>
        </w:rPr>
      </w:pPr>
      <w:r w:rsidRPr="005E562F">
        <w:rPr>
          <w:b/>
          <w:sz w:val="24"/>
          <w:szCs w:val="24"/>
        </w:rPr>
        <w:t>40.03.01 Юриспруденция</w:t>
      </w:r>
    </w:p>
    <w:p w14:paraId="68638CB1" w14:textId="77777777" w:rsidR="00AB5BC3" w:rsidRDefault="00AB5BC3" w:rsidP="00AB5BC3">
      <w:pPr>
        <w:spacing w:line="240" w:lineRule="auto"/>
        <w:jc w:val="center"/>
        <w:rPr>
          <w:b/>
        </w:rPr>
      </w:pPr>
    </w:p>
    <w:p w14:paraId="4E195B3C" w14:textId="77777777" w:rsidR="00AB5BC3" w:rsidRDefault="00AB5BC3" w:rsidP="00AB5BC3">
      <w:pPr>
        <w:spacing w:line="240" w:lineRule="auto"/>
        <w:jc w:val="center"/>
        <w:rPr>
          <w:b/>
        </w:rPr>
      </w:pPr>
    </w:p>
    <w:p w14:paraId="3DCDED15" w14:textId="77777777" w:rsidR="00AB5BC3" w:rsidRDefault="00AB5BC3" w:rsidP="00AB5BC3">
      <w:pPr>
        <w:spacing w:line="240" w:lineRule="auto"/>
        <w:rPr>
          <w:b/>
        </w:rPr>
      </w:pPr>
    </w:p>
    <w:p w14:paraId="200D01C4" w14:textId="77777777" w:rsidR="00AB5BC3" w:rsidRPr="005E562F" w:rsidRDefault="00AB5BC3" w:rsidP="00AB5BC3">
      <w:pPr>
        <w:jc w:val="center"/>
        <w:rPr>
          <w:b/>
          <w:sz w:val="44"/>
          <w:szCs w:val="44"/>
        </w:rPr>
      </w:pPr>
      <w:r w:rsidRPr="005E562F">
        <w:rPr>
          <w:b/>
          <w:sz w:val="44"/>
          <w:szCs w:val="44"/>
        </w:rPr>
        <w:t>КУРСОВАЯ РАБОТА</w:t>
      </w:r>
    </w:p>
    <w:p w14:paraId="2E098C74" w14:textId="77777777" w:rsidR="00AB5BC3" w:rsidRDefault="00AB5BC3" w:rsidP="00AB5BC3">
      <w:pPr>
        <w:spacing w:line="240" w:lineRule="auto"/>
        <w:jc w:val="center"/>
        <w:rPr>
          <w:b/>
        </w:rPr>
      </w:pPr>
    </w:p>
    <w:p w14:paraId="3F5E0639" w14:textId="0837223C" w:rsidR="00AB5BC3" w:rsidRPr="005E562F" w:rsidRDefault="00436CCB" w:rsidP="00AB5BC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Новые подходы к требованиям, предъявляемым к форме и содержанию обращения в суд</w:t>
      </w:r>
    </w:p>
    <w:p w14:paraId="15218882" w14:textId="77777777" w:rsidR="00AB5BC3" w:rsidRDefault="00AB5BC3" w:rsidP="00AB5BC3">
      <w:pPr>
        <w:spacing w:line="240" w:lineRule="auto"/>
        <w:rPr>
          <w:sz w:val="3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29"/>
      </w:tblGrid>
      <w:tr w:rsidR="00FF4F35" w:rsidRPr="00FF4F35" w14:paraId="1E468C04" w14:textId="77777777" w:rsidTr="00FF4F35">
        <w:tc>
          <w:tcPr>
            <w:tcW w:w="5382" w:type="dxa"/>
          </w:tcPr>
          <w:p w14:paraId="12EAAB31" w14:textId="77777777" w:rsidR="00FF4F35" w:rsidRPr="00FF4F35" w:rsidRDefault="00FF4F35" w:rsidP="00FF4F3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77E2BBDA" w14:textId="77777777" w:rsidR="00FF4F35" w:rsidRPr="00FF4F35" w:rsidRDefault="00FF4F35" w:rsidP="00FF4F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4F35">
              <w:rPr>
                <w:sz w:val="24"/>
                <w:szCs w:val="24"/>
              </w:rPr>
              <w:t xml:space="preserve">Выполнил: студент </w:t>
            </w:r>
            <w:r w:rsidRPr="00FF4F35">
              <w:rPr>
                <w:sz w:val="24"/>
                <w:szCs w:val="24"/>
                <w:lang w:val="en-US"/>
              </w:rPr>
              <w:t>III</w:t>
            </w:r>
            <w:r w:rsidRPr="00FF4F35">
              <w:rPr>
                <w:sz w:val="24"/>
                <w:szCs w:val="24"/>
              </w:rPr>
              <w:t xml:space="preserve"> курса 32 гр. </w:t>
            </w:r>
          </w:p>
          <w:p w14:paraId="4FB64374" w14:textId="504D845E" w:rsidR="00FF4F35" w:rsidRPr="00FF4F35" w:rsidRDefault="00FF4F35" w:rsidP="00FF4F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4F35">
              <w:rPr>
                <w:sz w:val="24"/>
                <w:szCs w:val="24"/>
              </w:rPr>
              <w:t>Сидоров Т. Г.</w:t>
            </w:r>
          </w:p>
        </w:tc>
      </w:tr>
      <w:tr w:rsidR="00FF4F35" w:rsidRPr="00FF4F35" w14:paraId="468A0FA5" w14:textId="77777777" w:rsidTr="00FF4F35">
        <w:tc>
          <w:tcPr>
            <w:tcW w:w="5382" w:type="dxa"/>
          </w:tcPr>
          <w:p w14:paraId="137624E3" w14:textId="77777777" w:rsidR="00FF4F35" w:rsidRPr="00FF4F35" w:rsidRDefault="00FF4F35" w:rsidP="00FF4F3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78E82DF2" w14:textId="77777777" w:rsidR="00FF4F35" w:rsidRPr="00FF4F35" w:rsidRDefault="00FF4F35" w:rsidP="00FF4F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4F35">
              <w:rPr>
                <w:sz w:val="24"/>
                <w:szCs w:val="24"/>
              </w:rPr>
              <w:t xml:space="preserve">Научный руководитель: доктор юридических наук, </w:t>
            </w:r>
          </w:p>
          <w:p w14:paraId="7E378489" w14:textId="77777777" w:rsidR="00FF4F35" w:rsidRPr="00FF4F35" w:rsidRDefault="00FF4F35" w:rsidP="00FF4F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4F35">
              <w:rPr>
                <w:sz w:val="24"/>
                <w:szCs w:val="24"/>
              </w:rPr>
              <w:t>профессор, заведующий кафедрой гражданского процесса и правоохранительной деятельности, заслуженный юрист РФ</w:t>
            </w:r>
          </w:p>
          <w:p w14:paraId="3671CB1E" w14:textId="32E48411" w:rsidR="00FF4F35" w:rsidRPr="00FF4F35" w:rsidRDefault="00FF4F35" w:rsidP="00FF4F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F4F35">
              <w:rPr>
                <w:sz w:val="24"/>
                <w:szCs w:val="24"/>
              </w:rPr>
              <w:t>Туманова Лидия Владимировна</w:t>
            </w:r>
          </w:p>
        </w:tc>
      </w:tr>
    </w:tbl>
    <w:p w14:paraId="6C5C1378" w14:textId="77777777" w:rsidR="00FF4F35" w:rsidRDefault="00FF4F35" w:rsidP="00AB5BC3">
      <w:pPr>
        <w:spacing w:line="240" w:lineRule="auto"/>
        <w:jc w:val="right"/>
      </w:pPr>
    </w:p>
    <w:p w14:paraId="7ACE8423" w14:textId="77777777" w:rsidR="00FF4F35" w:rsidRDefault="00FF4F35" w:rsidP="00AB5BC3">
      <w:pPr>
        <w:spacing w:line="240" w:lineRule="auto"/>
        <w:jc w:val="right"/>
      </w:pPr>
    </w:p>
    <w:p w14:paraId="0FFA8B73" w14:textId="22F9CE29" w:rsidR="00AB5BC3" w:rsidRDefault="00AB5BC3" w:rsidP="00AB5BC3">
      <w:pPr>
        <w:spacing w:line="240" w:lineRule="auto"/>
        <w:jc w:val="right"/>
      </w:pPr>
    </w:p>
    <w:p w14:paraId="53997721" w14:textId="77777777" w:rsidR="00FF4F35" w:rsidRDefault="00AB5BC3" w:rsidP="00FF4F35">
      <w:pPr>
        <w:tabs>
          <w:tab w:val="left" w:pos="6362"/>
        </w:tabs>
        <w:spacing w:line="240" w:lineRule="auto"/>
      </w:pPr>
      <w:r>
        <w:tab/>
      </w:r>
    </w:p>
    <w:p w14:paraId="22028B8D" w14:textId="0DF95430" w:rsidR="00AB5BC3" w:rsidRDefault="00AB5BC3" w:rsidP="00AB5BC3">
      <w:pPr>
        <w:spacing w:line="240" w:lineRule="auto"/>
        <w:jc w:val="right"/>
      </w:pPr>
    </w:p>
    <w:p w14:paraId="490B8338" w14:textId="77777777" w:rsidR="00AB5BC3" w:rsidRDefault="00AB5BC3" w:rsidP="00AB5BC3">
      <w:pPr>
        <w:spacing w:line="240" w:lineRule="auto"/>
        <w:jc w:val="right"/>
      </w:pPr>
    </w:p>
    <w:p w14:paraId="3EA05B1B" w14:textId="77777777" w:rsidR="00C21433" w:rsidRDefault="00C21433" w:rsidP="00FF05BB">
      <w:pPr>
        <w:pStyle w:val="1"/>
        <w:sectPr w:rsidR="00C21433" w:rsidSect="00D44357"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2143029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A3001E" w14:textId="7E87F07F" w:rsidR="00C21433" w:rsidRDefault="00C21433">
          <w:pPr>
            <w:pStyle w:val="af3"/>
          </w:pPr>
          <w:r w:rsidRPr="00C21433">
            <w:rPr>
              <w:color w:val="auto"/>
            </w:rPr>
            <w:t>Оглавление</w:t>
          </w:r>
        </w:p>
        <w:p w14:paraId="0675B40A" w14:textId="39E0330E" w:rsidR="00A51B6F" w:rsidRDefault="00C2143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939321" w:history="1">
            <w:r w:rsidR="00A51B6F" w:rsidRPr="00851C6E">
              <w:rPr>
                <w:rStyle w:val="ab"/>
                <w:noProof/>
              </w:rPr>
              <w:t>Введение</w:t>
            </w:r>
            <w:r w:rsidR="00A51B6F">
              <w:rPr>
                <w:noProof/>
                <w:webHidden/>
              </w:rPr>
              <w:tab/>
            </w:r>
            <w:r w:rsidR="00A51B6F">
              <w:rPr>
                <w:noProof/>
                <w:webHidden/>
              </w:rPr>
              <w:fldChar w:fldCharType="begin"/>
            </w:r>
            <w:r w:rsidR="00A51B6F">
              <w:rPr>
                <w:noProof/>
                <w:webHidden/>
              </w:rPr>
              <w:instrText xml:space="preserve"> PAGEREF _Toc501939321 \h </w:instrText>
            </w:r>
            <w:r w:rsidR="00A51B6F">
              <w:rPr>
                <w:noProof/>
                <w:webHidden/>
              </w:rPr>
            </w:r>
            <w:r w:rsidR="00A51B6F">
              <w:rPr>
                <w:noProof/>
                <w:webHidden/>
              </w:rPr>
              <w:fldChar w:fldCharType="separate"/>
            </w:r>
            <w:r w:rsidR="00A51B6F">
              <w:rPr>
                <w:noProof/>
                <w:webHidden/>
              </w:rPr>
              <w:t>3</w:t>
            </w:r>
            <w:r w:rsidR="00A51B6F">
              <w:rPr>
                <w:noProof/>
                <w:webHidden/>
              </w:rPr>
              <w:fldChar w:fldCharType="end"/>
            </w:r>
          </w:hyperlink>
        </w:p>
        <w:p w14:paraId="6C88863F" w14:textId="79B9AAE6" w:rsidR="00A51B6F" w:rsidRDefault="00D44357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1939322" w:history="1">
            <w:r w:rsidR="00A51B6F" w:rsidRPr="00851C6E">
              <w:rPr>
                <w:rStyle w:val="ab"/>
                <w:noProof/>
              </w:rPr>
              <w:t xml:space="preserve">Глава </w:t>
            </w:r>
            <w:r w:rsidR="00A51B6F" w:rsidRPr="00851C6E">
              <w:rPr>
                <w:rStyle w:val="ab"/>
                <w:noProof/>
                <w:lang w:val="en-US"/>
              </w:rPr>
              <w:t>I</w:t>
            </w:r>
            <w:r w:rsidR="00A51B6F" w:rsidRPr="00851C6E">
              <w:rPr>
                <w:rStyle w:val="ab"/>
                <w:noProof/>
              </w:rPr>
              <w:t>. Особенности обращения в суд с использованием информационных технологий</w:t>
            </w:r>
            <w:r w:rsidR="00A51B6F">
              <w:rPr>
                <w:noProof/>
                <w:webHidden/>
              </w:rPr>
              <w:tab/>
            </w:r>
            <w:r w:rsidR="00A51B6F">
              <w:rPr>
                <w:noProof/>
                <w:webHidden/>
              </w:rPr>
              <w:fldChar w:fldCharType="begin"/>
            </w:r>
            <w:r w:rsidR="00A51B6F">
              <w:rPr>
                <w:noProof/>
                <w:webHidden/>
              </w:rPr>
              <w:instrText xml:space="preserve"> PAGEREF _Toc501939322 \h </w:instrText>
            </w:r>
            <w:r w:rsidR="00A51B6F">
              <w:rPr>
                <w:noProof/>
                <w:webHidden/>
              </w:rPr>
            </w:r>
            <w:r w:rsidR="00A51B6F">
              <w:rPr>
                <w:noProof/>
                <w:webHidden/>
              </w:rPr>
              <w:fldChar w:fldCharType="separate"/>
            </w:r>
            <w:r w:rsidR="00A51B6F">
              <w:rPr>
                <w:noProof/>
                <w:webHidden/>
              </w:rPr>
              <w:t>5</w:t>
            </w:r>
            <w:r w:rsidR="00A51B6F">
              <w:rPr>
                <w:noProof/>
                <w:webHidden/>
              </w:rPr>
              <w:fldChar w:fldCharType="end"/>
            </w:r>
          </w:hyperlink>
        </w:p>
        <w:p w14:paraId="4C931BF1" w14:textId="0E8B84C7" w:rsidR="00A51B6F" w:rsidRDefault="00D44357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1939323" w:history="1">
            <w:r w:rsidR="00A51B6F" w:rsidRPr="00851C6E">
              <w:rPr>
                <w:rStyle w:val="ab"/>
                <w:noProof/>
              </w:rPr>
              <w:t xml:space="preserve">Глава </w:t>
            </w:r>
            <w:r w:rsidR="00A51B6F" w:rsidRPr="00851C6E">
              <w:rPr>
                <w:rStyle w:val="ab"/>
                <w:noProof/>
                <w:lang w:val="en-US"/>
              </w:rPr>
              <w:t>II</w:t>
            </w:r>
            <w:r w:rsidR="00A51B6F" w:rsidRPr="00851C6E">
              <w:rPr>
                <w:rStyle w:val="ab"/>
                <w:noProof/>
              </w:rPr>
              <w:t xml:space="preserve"> Правовое и терминологическое обеспечение внедрения информационных технологий в гражданское судопроизводство</w:t>
            </w:r>
            <w:r w:rsidR="00A51B6F">
              <w:rPr>
                <w:noProof/>
                <w:webHidden/>
              </w:rPr>
              <w:tab/>
            </w:r>
            <w:r w:rsidR="00A51B6F">
              <w:rPr>
                <w:noProof/>
                <w:webHidden/>
              </w:rPr>
              <w:fldChar w:fldCharType="begin"/>
            </w:r>
            <w:r w:rsidR="00A51B6F">
              <w:rPr>
                <w:noProof/>
                <w:webHidden/>
              </w:rPr>
              <w:instrText xml:space="preserve"> PAGEREF _Toc501939323 \h </w:instrText>
            </w:r>
            <w:r w:rsidR="00A51B6F">
              <w:rPr>
                <w:noProof/>
                <w:webHidden/>
              </w:rPr>
            </w:r>
            <w:r w:rsidR="00A51B6F">
              <w:rPr>
                <w:noProof/>
                <w:webHidden/>
              </w:rPr>
              <w:fldChar w:fldCharType="separate"/>
            </w:r>
            <w:r w:rsidR="00A51B6F">
              <w:rPr>
                <w:noProof/>
                <w:webHidden/>
              </w:rPr>
              <w:t>10</w:t>
            </w:r>
            <w:r w:rsidR="00A51B6F">
              <w:rPr>
                <w:noProof/>
                <w:webHidden/>
              </w:rPr>
              <w:fldChar w:fldCharType="end"/>
            </w:r>
          </w:hyperlink>
        </w:p>
        <w:p w14:paraId="42A3CC89" w14:textId="37B7AC1F" w:rsidR="00A51B6F" w:rsidRDefault="00D44357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1939324" w:history="1">
            <w:r w:rsidR="00A51B6F" w:rsidRPr="00851C6E">
              <w:rPr>
                <w:rStyle w:val="ab"/>
                <w:noProof/>
              </w:rPr>
              <w:t>Заключение</w:t>
            </w:r>
            <w:r w:rsidR="00A51B6F">
              <w:rPr>
                <w:noProof/>
                <w:webHidden/>
              </w:rPr>
              <w:tab/>
            </w:r>
            <w:r w:rsidR="00A51B6F">
              <w:rPr>
                <w:noProof/>
                <w:webHidden/>
              </w:rPr>
              <w:fldChar w:fldCharType="begin"/>
            </w:r>
            <w:r w:rsidR="00A51B6F">
              <w:rPr>
                <w:noProof/>
                <w:webHidden/>
              </w:rPr>
              <w:instrText xml:space="preserve"> PAGEREF _Toc501939324 \h </w:instrText>
            </w:r>
            <w:r w:rsidR="00A51B6F">
              <w:rPr>
                <w:noProof/>
                <w:webHidden/>
              </w:rPr>
            </w:r>
            <w:r w:rsidR="00A51B6F">
              <w:rPr>
                <w:noProof/>
                <w:webHidden/>
              </w:rPr>
              <w:fldChar w:fldCharType="separate"/>
            </w:r>
            <w:r w:rsidR="00A51B6F">
              <w:rPr>
                <w:noProof/>
                <w:webHidden/>
              </w:rPr>
              <w:t>19</w:t>
            </w:r>
            <w:r w:rsidR="00A51B6F">
              <w:rPr>
                <w:noProof/>
                <w:webHidden/>
              </w:rPr>
              <w:fldChar w:fldCharType="end"/>
            </w:r>
          </w:hyperlink>
        </w:p>
        <w:p w14:paraId="20EA7166" w14:textId="7807960B" w:rsidR="00A51B6F" w:rsidRDefault="00D44357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1939325" w:history="1">
            <w:r w:rsidR="00A51B6F" w:rsidRPr="00851C6E">
              <w:rPr>
                <w:rStyle w:val="ab"/>
                <w:noProof/>
              </w:rPr>
              <w:t>Список использованных источников</w:t>
            </w:r>
            <w:r w:rsidR="00A51B6F">
              <w:rPr>
                <w:noProof/>
                <w:webHidden/>
              </w:rPr>
              <w:tab/>
            </w:r>
            <w:r w:rsidR="00A51B6F">
              <w:rPr>
                <w:noProof/>
                <w:webHidden/>
              </w:rPr>
              <w:fldChar w:fldCharType="begin"/>
            </w:r>
            <w:r w:rsidR="00A51B6F">
              <w:rPr>
                <w:noProof/>
                <w:webHidden/>
              </w:rPr>
              <w:instrText xml:space="preserve"> PAGEREF _Toc501939325 \h </w:instrText>
            </w:r>
            <w:r w:rsidR="00A51B6F">
              <w:rPr>
                <w:noProof/>
                <w:webHidden/>
              </w:rPr>
            </w:r>
            <w:r w:rsidR="00A51B6F">
              <w:rPr>
                <w:noProof/>
                <w:webHidden/>
              </w:rPr>
              <w:fldChar w:fldCharType="separate"/>
            </w:r>
            <w:r w:rsidR="00A51B6F">
              <w:rPr>
                <w:noProof/>
                <w:webHidden/>
              </w:rPr>
              <w:t>20</w:t>
            </w:r>
            <w:r w:rsidR="00A51B6F">
              <w:rPr>
                <w:noProof/>
                <w:webHidden/>
              </w:rPr>
              <w:fldChar w:fldCharType="end"/>
            </w:r>
          </w:hyperlink>
        </w:p>
        <w:p w14:paraId="07482FAE" w14:textId="5CA6CF90" w:rsidR="00C21433" w:rsidRDefault="00C21433">
          <w:r>
            <w:rPr>
              <w:b/>
              <w:bCs/>
            </w:rPr>
            <w:fldChar w:fldCharType="end"/>
          </w:r>
        </w:p>
      </w:sdtContent>
    </w:sdt>
    <w:p w14:paraId="49F74F63" w14:textId="18B15EF4" w:rsidR="00C21433" w:rsidRDefault="00C21433" w:rsidP="00C21433"/>
    <w:p w14:paraId="67947461" w14:textId="4541A0DA" w:rsidR="00C21433" w:rsidRDefault="00C21433" w:rsidP="00C21433"/>
    <w:p w14:paraId="01C4AF74" w14:textId="77777777" w:rsidR="00C21433" w:rsidRPr="00C21433" w:rsidRDefault="00C21433" w:rsidP="00C21433">
      <w:pPr>
        <w:sectPr w:rsidR="00C21433" w:rsidRPr="00C21433" w:rsidSect="00BA6E4C">
          <w:footerReference w:type="first" r:id="rId10"/>
          <w:footnotePr>
            <w:numRestart w:val="eachPage"/>
          </w:footnotePr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14:paraId="67BFD9B8" w14:textId="3FE4B924" w:rsidR="00C2359E" w:rsidRDefault="00744E07" w:rsidP="00FF05BB">
      <w:pPr>
        <w:pStyle w:val="1"/>
      </w:pPr>
      <w:bookmarkStart w:id="1" w:name="_Toc501939321"/>
      <w:r w:rsidRPr="00744E07">
        <w:lastRenderedPageBreak/>
        <w:t>Введение</w:t>
      </w:r>
      <w:bookmarkEnd w:id="1"/>
      <w:r w:rsidRPr="00744E07">
        <w:t xml:space="preserve"> </w:t>
      </w:r>
    </w:p>
    <w:p w14:paraId="449F5D7A" w14:textId="77777777" w:rsidR="00A51B6F" w:rsidRPr="00A51B6F" w:rsidRDefault="00A51B6F" w:rsidP="00A51B6F"/>
    <w:p w14:paraId="5172DB84" w14:textId="77777777" w:rsidR="00A80A8D" w:rsidRPr="00A80A8D" w:rsidRDefault="00A80A8D" w:rsidP="00A80A8D">
      <w:r w:rsidRPr="00A80A8D">
        <w:t xml:space="preserve">Трудно не заметить стремительное развитие информационных технологий, и их влияние на все сферы человеческого общества, в том числе и на процесс осуществления судебной власти, в связи с чем происходит модернизация сложившихся общественных отношений, что вызывает необходимость в их урегулировании посредством правовых норм. </w:t>
      </w:r>
    </w:p>
    <w:p w14:paraId="71E84BFE" w14:textId="430B65ED" w:rsidR="00A80A8D" w:rsidRPr="00A80A8D" w:rsidRDefault="00A80A8D" w:rsidP="00A51B6F">
      <w:r w:rsidRPr="00A80A8D">
        <w:t>Такая потребность особенно заметна на фоне масштабных изменений</w:t>
      </w:r>
      <w:r w:rsidRPr="00A80A8D">
        <w:rPr>
          <w:vertAlign w:val="superscript"/>
        </w:rPr>
        <w:footnoteReference w:id="2"/>
      </w:r>
      <w:r w:rsidRPr="00A80A8D">
        <w:t>, происходящих в судебной системе Российской Федерации (далее – РФ), одним из которых стало объединение Верховного суда РФ и Высшего Арбитражного суда РФ</w:t>
      </w:r>
      <w:r w:rsidRPr="00A80A8D">
        <w:rPr>
          <w:vertAlign w:val="superscript"/>
        </w:rPr>
        <w:footnoteReference w:id="3"/>
      </w:r>
      <w:r w:rsidRPr="00A80A8D">
        <w:t xml:space="preserve">. Именно создание нового общего судебного органа для двух самостоятельных систем послужило импульсом к тому, чтобы происходила унификация норм гражданского процессуального права. Начата большая работа по информатизации судов РФ, которая находит своё отражение в реформировании гражданско-процессуального законодательства, в том числе и связанном с обращением граждан в суд – основой функционирования суда. В этой связи представляется актуальным сделать попытку поиска новых подходов к требованиям, предъявляемым к форме и содержанию заявления в суд с целью исследования проблемы применения информационных технологий в аспекте обеспечения доступа к правосудию путём обращения в суд. </w:t>
      </w:r>
    </w:p>
    <w:p w14:paraId="77B8480E" w14:textId="77777777" w:rsidR="00A80A8D" w:rsidRPr="00A80A8D" w:rsidRDefault="00A80A8D" w:rsidP="00A80A8D">
      <w:r w:rsidRPr="00A80A8D">
        <w:t xml:space="preserve">Для достижения поставленной цели были сформулированы следующие задачи: </w:t>
      </w:r>
    </w:p>
    <w:p w14:paraId="73B139CB" w14:textId="77777777" w:rsidR="00A80A8D" w:rsidRPr="00A80A8D" w:rsidRDefault="00A80A8D" w:rsidP="00A80A8D">
      <w:pPr>
        <w:numPr>
          <w:ilvl w:val="0"/>
          <w:numId w:val="5"/>
        </w:numPr>
        <w:ind w:left="0" w:firstLine="1069"/>
        <w:contextualSpacing/>
        <w:jc w:val="left"/>
      </w:pPr>
      <w:r w:rsidRPr="00A80A8D">
        <w:t xml:space="preserve">выявить особенности обращения в суд с использованием информационных технологий; </w:t>
      </w:r>
    </w:p>
    <w:p w14:paraId="7103128F" w14:textId="77777777" w:rsidR="00A80A8D" w:rsidRPr="00A80A8D" w:rsidRDefault="00A80A8D" w:rsidP="00A80A8D">
      <w:pPr>
        <w:numPr>
          <w:ilvl w:val="0"/>
          <w:numId w:val="5"/>
        </w:numPr>
        <w:ind w:left="0" w:firstLine="1069"/>
        <w:contextualSpacing/>
        <w:jc w:val="left"/>
      </w:pPr>
      <w:r w:rsidRPr="00A80A8D">
        <w:lastRenderedPageBreak/>
        <w:t xml:space="preserve">уточнить терминологию, относящуюся к использованию информационных технологий при обращении в суд. </w:t>
      </w:r>
    </w:p>
    <w:p w14:paraId="1DEBF4DB" w14:textId="77777777" w:rsidR="00A80A8D" w:rsidRPr="00A80A8D" w:rsidRDefault="00A80A8D" w:rsidP="00A80A8D">
      <w:r w:rsidRPr="00A80A8D">
        <w:t>В соответствии с частью 1 статьи 46 Конституции РФ</w:t>
      </w:r>
      <w:r w:rsidRPr="00A80A8D">
        <w:rPr>
          <w:vertAlign w:val="superscript"/>
        </w:rPr>
        <w:footnoteReference w:id="4"/>
      </w:r>
      <w:r w:rsidRPr="00A80A8D">
        <w:t xml:space="preserve"> каждому гарантируется судебная защита его прав и свобод. Реализация данного права осуществляется по правилам процессуальных кодексов в зависимости от вида судопроизводства и основывается на обращении в суд, поэтому это заслуживает особого внимания в связи с применением информационных технологий при обращении в суд. </w:t>
      </w:r>
    </w:p>
    <w:p w14:paraId="001D479C" w14:textId="77777777" w:rsidR="00A80A8D" w:rsidRPr="00A80A8D" w:rsidRDefault="00A80A8D" w:rsidP="00A80A8D">
      <w:r w:rsidRPr="00A80A8D">
        <w:t>Степень научной разработанности озвученного вопроса довольна высока. Проблемой построения электронного правосудия исследовала Булгакова Е.В</w:t>
      </w:r>
      <w:r w:rsidRPr="00A80A8D">
        <w:rPr>
          <w:vertAlign w:val="superscript"/>
        </w:rPr>
        <w:footnoteReference w:id="5"/>
      </w:r>
      <w:r w:rsidRPr="00A80A8D">
        <w:t>. Терминологический аспект использования инновационных технологий при отправлении правосудия попытался раскрыть Аносов А.В</w:t>
      </w:r>
      <w:r w:rsidRPr="00A80A8D">
        <w:rPr>
          <w:vertAlign w:val="superscript"/>
        </w:rPr>
        <w:footnoteReference w:id="6"/>
      </w:r>
      <w:r w:rsidRPr="00A80A8D">
        <w:t xml:space="preserve">. Перспективы развития доступности правосудия были представлены </w:t>
      </w:r>
      <w:proofErr w:type="spellStart"/>
      <w:r w:rsidRPr="00A80A8D">
        <w:t>Шакарян</w:t>
      </w:r>
      <w:proofErr w:type="spellEnd"/>
      <w:r w:rsidRPr="00A80A8D">
        <w:t xml:space="preserve"> М.С</w:t>
      </w:r>
      <w:r w:rsidRPr="00A80A8D">
        <w:rPr>
          <w:vertAlign w:val="superscript"/>
        </w:rPr>
        <w:footnoteReference w:id="7"/>
      </w:r>
      <w:r w:rsidRPr="00A80A8D">
        <w:t xml:space="preserve">. Тем не менее, указанные работы лишь отчасти характеризуют процедуру обращения в суд по инновационных канонам. В данной курсовой работе была предпринята попытка рассмотреть его более подробно. </w:t>
      </w:r>
    </w:p>
    <w:p w14:paraId="475D49A6" w14:textId="73DCBD28" w:rsidR="00744E07" w:rsidRDefault="00744E07" w:rsidP="00D022A8">
      <w:pPr>
        <w:pStyle w:val="a"/>
      </w:pPr>
      <w:r>
        <w:br w:type="page"/>
      </w:r>
    </w:p>
    <w:p w14:paraId="136F7446" w14:textId="3B50572A" w:rsidR="00946656" w:rsidRDefault="00946656" w:rsidP="00946656">
      <w:pPr>
        <w:pStyle w:val="1"/>
      </w:pPr>
      <w:bookmarkStart w:id="2" w:name="_Toc501939322"/>
      <w:r>
        <w:lastRenderedPageBreak/>
        <w:t xml:space="preserve">Глава </w:t>
      </w:r>
      <w:r>
        <w:rPr>
          <w:lang w:val="en-US"/>
        </w:rPr>
        <w:t>I</w:t>
      </w:r>
      <w:r w:rsidRPr="00946656">
        <w:t xml:space="preserve">. </w:t>
      </w:r>
      <w:r>
        <w:t>Особенности обращения в суд с использованием информационных технологий</w:t>
      </w:r>
      <w:bookmarkEnd w:id="2"/>
      <w:r>
        <w:t xml:space="preserve"> </w:t>
      </w:r>
    </w:p>
    <w:p w14:paraId="28578A31" w14:textId="517F96AB" w:rsidR="00764353" w:rsidRDefault="00764353" w:rsidP="00FC09AF"/>
    <w:p w14:paraId="7E3CA813" w14:textId="7F50826C" w:rsidR="009E2FB0" w:rsidRDefault="00E82DA0" w:rsidP="009E2FB0">
      <w:r>
        <w:t>С</w:t>
      </w:r>
      <w:r w:rsidR="000748EC">
        <w:t xml:space="preserve">татья </w:t>
      </w:r>
      <w:r w:rsidR="006E2154">
        <w:t>46 Конституции РФ содержит норму, которая гарантирует право на судебную защиту</w:t>
      </w:r>
      <w:r w:rsidR="008B783F">
        <w:t>, основу которого составляет доступность правосудия. Однако в ходе реализации названного права возникает пробле</w:t>
      </w:r>
      <w:r w:rsidR="009E2FB0">
        <w:t>ма доступа к правосудию, выражающаяся в необеспечении или недостаточном обеспечении права на обращение в суд, в порядке, не допускающем субъективизма при применении закона</w:t>
      </w:r>
      <w:r w:rsidR="009E2FB0">
        <w:rPr>
          <w:rStyle w:val="aa"/>
        </w:rPr>
        <w:footnoteReference w:id="8"/>
      </w:r>
      <w:r w:rsidR="009E2FB0">
        <w:t xml:space="preserve">. </w:t>
      </w:r>
    </w:p>
    <w:p w14:paraId="74C091E7" w14:textId="5A3FEEAB" w:rsidR="00237C03" w:rsidRDefault="00287BBB" w:rsidP="00237C03">
      <w:r>
        <w:t xml:space="preserve">Несмотря на развитие альтернативных форм урегулирования споров, основной по-прежнему остаётся судебная защита. </w:t>
      </w:r>
      <w:r w:rsidR="00237C03">
        <w:t>Предоставление возможности обращения в суд в электронном виде с помощью информационных технологий способно упростить процедуру обращения в суд, что, как следствие, позволит снизить потребность граждан для защиты нарушенных прав использовать самосуд или криминогенные элементы общества</w:t>
      </w:r>
      <w:r w:rsidR="00F84F1A">
        <w:t>.</w:t>
      </w:r>
      <w:r w:rsidR="00237C03">
        <w:t xml:space="preserve"> </w:t>
      </w:r>
    </w:p>
    <w:p w14:paraId="04FF1AD5" w14:textId="3FC2955F" w:rsidR="00F84F1A" w:rsidRDefault="00F84F1A" w:rsidP="00F84F1A">
      <w:r>
        <w:t>Дистанционное обращение в суд может дополнительно гарантировать неприкосновенность частной жизни. Не каждый поход в суд обязательно завершится определённым положительным результатом. Например, гражданина могут не пустить в здание суда, если у него отсутствует документ, удостоверяющий личность</w:t>
      </w:r>
      <w:r w:rsidR="00E82DA0">
        <w:t>,</w:t>
      </w:r>
      <w:r>
        <w:t xml:space="preserve"> или он откажется от демонстрации содержимого его сумки. В некоторых южных регионах России запрещено посещение суда лицам, одежда которых не соответствует официально-деловому стилю. Исключение необход</w:t>
      </w:r>
      <w:r w:rsidR="00E50FB9">
        <w:t xml:space="preserve">имости непосредственного физического участия при осуществлении правосудия расширяет границы свободы за счёт устранения формальных требований. </w:t>
      </w:r>
    </w:p>
    <w:p w14:paraId="2ADC0DE7" w14:textId="66066627" w:rsidR="00576A46" w:rsidRDefault="00576A46" w:rsidP="00576A46">
      <w:r>
        <w:t xml:space="preserve">Постепенно происходит смена поколения. Уходят те, для кого </w:t>
      </w:r>
      <w:r>
        <w:rPr>
          <w:lang w:val="en-US"/>
        </w:rPr>
        <w:t>IT</w:t>
      </w:r>
      <w:r w:rsidRPr="00D32C73">
        <w:t>-</w:t>
      </w:r>
      <w:r>
        <w:t xml:space="preserve">технологии стали прорывным изобретением, и приходят те, для кого </w:t>
      </w:r>
      <w:r>
        <w:rPr>
          <w:lang w:val="en-US"/>
        </w:rPr>
        <w:t>IT</w:t>
      </w:r>
      <w:r w:rsidRPr="00D32C73">
        <w:t>-</w:t>
      </w:r>
      <w:r>
        <w:t xml:space="preserve">технологии привычный </w:t>
      </w:r>
      <w:r>
        <w:lastRenderedPageBreak/>
        <w:t>порядок вещей, удивительно, скорее, их отсутствие. Вторая группа пользователей количественно преобладает, о чём говорят данные статистической отчётности: число граждан в возрасте от 60 лет и старше составляет 30 477 000 человек, а в возрасте от 20 до 54 лет – 63 099 000</w:t>
      </w:r>
      <w:r>
        <w:rPr>
          <w:rStyle w:val="aa"/>
        </w:rPr>
        <w:footnoteReference w:id="9"/>
      </w:r>
      <w:r>
        <w:t xml:space="preserve">. Существующие средства обращения в суд ориентированы на более возрастную категорию граждан. Внедрение информационных технологий позволяет в равной степени учесть также интересы «обновлённого» поколения. </w:t>
      </w:r>
    </w:p>
    <w:p w14:paraId="570E1183" w14:textId="25876822" w:rsidR="00576A46" w:rsidRDefault="00576A46" w:rsidP="00576A46">
      <w:r>
        <w:t xml:space="preserve">Началось формирование единого информационного пространства судов общей юрисдикции, предполагающее </w:t>
      </w:r>
      <w:r w:rsidRPr="0099410D">
        <w:t>создани</w:t>
      </w:r>
      <w:r>
        <w:t>е</w:t>
      </w:r>
      <w:r w:rsidRPr="0099410D">
        <w:t xml:space="preserve"> совокупности баз данных и банков данных, разработк</w:t>
      </w:r>
      <w:r>
        <w:t>у</w:t>
      </w:r>
      <w:r w:rsidRPr="0099410D">
        <w:t xml:space="preserve"> единых технологий их ведения и использования, создани</w:t>
      </w:r>
      <w:r>
        <w:t>е</w:t>
      </w:r>
      <w:r w:rsidRPr="0099410D">
        <w:t xml:space="preserve"> информационных систем и использовани</w:t>
      </w:r>
      <w:r>
        <w:t>е</w:t>
      </w:r>
      <w:r w:rsidRPr="0099410D">
        <w:t xml:space="preserve"> информационно-телекоммуникационных сетей, функционирующих на основе единых принципов и общих правил</w:t>
      </w:r>
      <w:r>
        <w:rPr>
          <w:rStyle w:val="aa"/>
        </w:rPr>
        <w:footnoteReference w:id="10"/>
      </w:r>
      <w:r w:rsidRPr="0099410D">
        <w:t>.</w:t>
      </w:r>
      <w:r>
        <w:t xml:space="preserve"> Логичным продолжение может стать конкретизация порядка обращения в суд в электронном виде. В ГПК РФ стоит указать конкретные нормативно-правовые акты, регулирующие электронное обращение. Сложившаяся сегодня ситуации, когда процессуальный момент, а именно порядок обращения в суд в электронном виде, регулируется не специализированным федеральным законом (кодексом), а подзаконным актом</w:t>
      </w:r>
      <w:r>
        <w:rPr>
          <w:rStyle w:val="aa"/>
        </w:rPr>
        <w:footnoteReference w:id="11"/>
      </w:r>
      <w:r>
        <w:t xml:space="preserve">, недопустима. </w:t>
      </w:r>
    </w:p>
    <w:p w14:paraId="51C2AA14" w14:textId="6CE4C415" w:rsidR="00576A46" w:rsidRDefault="00576A46" w:rsidP="00576A46">
      <w:r>
        <w:t xml:space="preserve">Также стоит решить вопрос об информировании населения об источниках, в которых содержатся требования к порядку обращения в суд. Большое количество времени современные люди </w:t>
      </w:r>
      <w:proofErr w:type="gramStart"/>
      <w:r>
        <w:t>проводят</w:t>
      </w:r>
      <w:proofErr w:type="gramEnd"/>
      <w:r>
        <w:t xml:space="preserve"> потребляя информационный контент в социальных сетях</w:t>
      </w:r>
      <w:r w:rsidR="00E82DA0">
        <w:t xml:space="preserve">. </w:t>
      </w:r>
      <w:r>
        <w:t xml:space="preserve">Проявление доступности правосудия также может состоять в </w:t>
      </w:r>
      <w:r>
        <w:lastRenderedPageBreak/>
        <w:t>уведомлении населения о порядке обращения в суд удобным для него способ – посредством информационно-телекоммуникационной сети «Интернет»</w:t>
      </w:r>
      <w:r>
        <w:rPr>
          <w:rStyle w:val="aa"/>
        </w:rPr>
        <w:footnoteReference w:id="12"/>
      </w:r>
      <w:r>
        <w:t xml:space="preserve">. Гражданским процессуальным законодательством не исчерпан объёмный потенциал «сети». </w:t>
      </w:r>
    </w:p>
    <w:p w14:paraId="3B555D61" w14:textId="66CED67E" w:rsidR="009346C8" w:rsidRDefault="009346C8" w:rsidP="009346C8">
      <w:pPr>
        <w:tabs>
          <w:tab w:val="center" w:pos="5032"/>
        </w:tabs>
      </w:pPr>
      <w:r>
        <w:t xml:space="preserve">В качестве одного из требований к форме обращения в суд выступает наличие электронной подписи различного уровня </w:t>
      </w:r>
      <w:r w:rsidRPr="008F4240">
        <w:t>«защищённости».</w:t>
      </w:r>
      <w:r>
        <w:t xml:space="preserve"> Понятие электронной подписи также отсутствует в ГПК РФ. Не даёт разъяснений на этот счёт и </w:t>
      </w:r>
      <w:r w:rsidRPr="008F4240">
        <w:t>Приказ</w:t>
      </w:r>
      <w:r w:rsidR="008F4240">
        <w:rPr>
          <w:rStyle w:val="aa"/>
        </w:rPr>
        <w:footnoteReference w:id="13"/>
      </w:r>
      <w:r w:rsidRPr="008F4240">
        <w:t>.</w:t>
      </w:r>
      <w:r>
        <w:t xml:space="preserve"> И тот и другой документ ограничиваются общей фразой «…в </w:t>
      </w:r>
      <w:r w:rsidRPr="00741778">
        <w:t>порядке, установленном законодательством Российской</w:t>
      </w:r>
      <w:r>
        <w:t xml:space="preserve"> Федерации». </w:t>
      </w:r>
    </w:p>
    <w:p w14:paraId="54EC2D93" w14:textId="77777777" w:rsidR="009346C8" w:rsidRDefault="009346C8" w:rsidP="009346C8">
      <w:pPr>
        <w:tabs>
          <w:tab w:val="center" w:pos="5032"/>
        </w:tabs>
      </w:pPr>
      <w:r>
        <w:t>В соответствии с подпунктом 1 статьи 2 ФЗ от 06.04.2011 N 63-ФЗ</w:t>
      </w:r>
      <w:r>
        <w:rPr>
          <w:rStyle w:val="aa"/>
        </w:rPr>
        <w:footnoteReference w:id="14"/>
      </w:r>
      <w:r>
        <w:t xml:space="preserve"> электронная подпись – </w:t>
      </w:r>
      <w:r w:rsidRPr="000E1EFF"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</w:t>
      </w:r>
      <w:r>
        <w:t xml:space="preserve">лица, подписывающего информацию. </w:t>
      </w:r>
    </w:p>
    <w:p w14:paraId="039D4A5B" w14:textId="77777777" w:rsidR="009346C8" w:rsidRDefault="009346C8" w:rsidP="009346C8">
      <w:pPr>
        <w:tabs>
          <w:tab w:val="center" w:pos="5032"/>
        </w:tabs>
      </w:pPr>
      <w:r>
        <w:t xml:space="preserve">Требование о наличии электронной подписи дифференцированы. В частности, это зависит </w:t>
      </w:r>
      <w:r w:rsidRPr="008F4240">
        <w:t>от «разновидности»</w:t>
      </w:r>
      <w:r>
        <w:t xml:space="preserve"> обращения в суд в электронном виде. Различают их несколько. Внимательно ознакомившись с содержанием Приказа, можем выделить следующие разновидности обращения в суд в электронном виде: </w:t>
      </w:r>
    </w:p>
    <w:p w14:paraId="443A3264" w14:textId="77777777" w:rsidR="009346C8" w:rsidRDefault="009346C8" w:rsidP="005B427D">
      <w:pPr>
        <w:pStyle w:val="a"/>
        <w:numPr>
          <w:ilvl w:val="0"/>
          <w:numId w:val="13"/>
        </w:numPr>
        <w:ind w:left="0" w:firstLine="709"/>
        <w:jc w:val="both"/>
      </w:pPr>
      <w:r w:rsidRPr="00BF1EC8">
        <w:t>в форме электронного документа, под</w:t>
      </w:r>
      <w:r>
        <w:t xml:space="preserve">писанного электронной подписью; </w:t>
      </w:r>
    </w:p>
    <w:p w14:paraId="07ABFC0D" w14:textId="77777777" w:rsidR="009346C8" w:rsidRDefault="009346C8" w:rsidP="005B427D">
      <w:pPr>
        <w:pStyle w:val="a"/>
        <w:numPr>
          <w:ilvl w:val="0"/>
          <w:numId w:val="13"/>
        </w:numPr>
        <w:ind w:left="0" w:firstLine="709"/>
        <w:jc w:val="both"/>
      </w:pPr>
      <w:r>
        <w:t xml:space="preserve">в форме образа электронного документа, подписанного электронной подписью; </w:t>
      </w:r>
    </w:p>
    <w:p w14:paraId="6BF12A67" w14:textId="77777777" w:rsidR="009346C8" w:rsidRDefault="009346C8" w:rsidP="005B427D">
      <w:pPr>
        <w:pStyle w:val="a"/>
        <w:numPr>
          <w:ilvl w:val="0"/>
          <w:numId w:val="13"/>
        </w:numPr>
        <w:ind w:left="0" w:firstLine="709"/>
        <w:jc w:val="both"/>
      </w:pPr>
      <w:r w:rsidRPr="00BF1EC8">
        <w:t>посредством заполнения формы, размещенной на официальном сайте суда в информационно-телекоммуникационной сети "Интернет".</w:t>
      </w:r>
      <w:r>
        <w:t xml:space="preserve"> </w:t>
      </w:r>
    </w:p>
    <w:p w14:paraId="1DF4ADA7" w14:textId="77777777" w:rsidR="009346C8" w:rsidRDefault="009346C8" w:rsidP="009346C8">
      <w:pPr>
        <w:tabs>
          <w:tab w:val="center" w:pos="5032"/>
        </w:tabs>
      </w:pPr>
      <w:r>
        <w:lastRenderedPageBreak/>
        <w:t xml:space="preserve">Дифференциация в первую очередь заключается в виде электронной подписи, необходимой для заверения документа. Стоит отметить, что в гражданском процессуальном законодательстве используется всего два. В статье 5 названный Закон устанавливает виды подписей. </w:t>
      </w:r>
    </w:p>
    <w:p w14:paraId="4EB69970" w14:textId="3848A1DA" w:rsidR="009346C8" w:rsidRDefault="009346C8" w:rsidP="009346C8">
      <w:pPr>
        <w:tabs>
          <w:tab w:val="center" w:pos="5032"/>
        </w:tabs>
      </w:pPr>
      <w:r>
        <w:t>Простая электронная подпись</w:t>
      </w:r>
      <w:r w:rsidRPr="00BF1EC8">
        <w:t xml:space="preserve"> </w:t>
      </w:r>
      <w:r>
        <w:t xml:space="preserve">— это </w:t>
      </w:r>
      <w:r w:rsidRPr="00BF1EC8">
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</w:t>
      </w:r>
      <w:r>
        <w:t xml:space="preserve"> (ч</w:t>
      </w:r>
      <w:r w:rsidR="00A350B1">
        <w:t>асть</w:t>
      </w:r>
      <w:r>
        <w:t xml:space="preserve"> 2 ст</w:t>
      </w:r>
      <w:r w:rsidR="00A350B1">
        <w:t>атьи</w:t>
      </w:r>
      <w:r>
        <w:t xml:space="preserve"> 5)</w:t>
      </w:r>
      <w:r w:rsidRPr="00BF1EC8">
        <w:t>.</w:t>
      </w:r>
      <w:r>
        <w:t xml:space="preserve"> </w:t>
      </w:r>
    </w:p>
    <w:p w14:paraId="4E293940" w14:textId="77777777" w:rsidR="009346C8" w:rsidRDefault="009346C8" w:rsidP="009346C8">
      <w:pPr>
        <w:tabs>
          <w:tab w:val="center" w:pos="5032"/>
        </w:tabs>
      </w:pPr>
      <w:r>
        <w:t>Квалифицированная электронная подпись — это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14:paraId="1E8624BE" w14:textId="77777777" w:rsidR="009346C8" w:rsidRDefault="009346C8" w:rsidP="009346C8">
      <w:pPr>
        <w:tabs>
          <w:tab w:val="center" w:pos="5032"/>
        </w:tabs>
      </w:pPr>
      <w:r>
        <w:t>1) ключ проверки электронной подписи указан в квалифицированном сертификате;</w:t>
      </w:r>
    </w:p>
    <w:p w14:paraId="1B3C545C" w14:textId="77777777" w:rsidR="009346C8" w:rsidRDefault="009346C8" w:rsidP="009346C8">
      <w:pPr>
        <w:tabs>
          <w:tab w:val="center" w:pos="5032"/>
        </w:tabs>
      </w:pPr>
      <w:r>
        <w:t xml:space="preserve">2) для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настоящим Федеральным законом (ч. 4 ст. 5 пп. 1 и 2). </w:t>
      </w:r>
    </w:p>
    <w:p w14:paraId="747CFDE6" w14:textId="7ED70280" w:rsidR="009346C8" w:rsidRDefault="009346C8" w:rsidP="009346C8">
      <w:pPr>
        <w:tabs>
          <w:tab w:val="center" w:pos="5032"/>
        </w:tabs>
      </w:pPr>
      <w:r>
        <w:t>Исходя из вышеизложенного, для оптимизации содержания ГПК РФ следует унифицировать требования к идентификации лиц, обращающихся в суд. Такой набор требований кажется непринципиальным, однако</w:t>
      </w:r>
      <w:r w:rsidR="00206D5A">
        <w:t>,</w:t>
      </w:r>
      <w:r>
        <w:t xml:space="preserve"> как дополнительные звенья цепи утяжеляют её, так очередные требования усложняют восприятие нормы. В погоне за соблюдением формальностей внимание рассредоточивается, теряя главное из виду. Определение единого стандарта идентификации лиц при обращении в суд могло бы способствовать ускорению осуществления правосудия за счёт уменьшения временных затрат на обращение в суд. </w:t>
      </w:r>
    </w:p>
    <w:p w14:paraId="5C5EA839" w14:textId="0F29A502" w:rsidR="00206D5A" w:rsidRDefault="00206D5A" w:rsidP="00F84F1A">
      <w:r>
        <w:t xml:space="preserve">Использование электронной подписи не стоит рассматривать как некоторое ограничение. Уникальный «кибер-ключ» позволяет однозначно идентифицировать пользователя, в то время как нередки случае фальсификации физических подписей граждан. Степень защищённости электронной подписи в некоторых случаях </w:t>
      </w:r>
      <w:r>
        <w:lastRenderedPageBreak/>
        <w:t xml:space="preserve">несколько выше, чем письменной: не все граждане могут придумать сложно воспроизводимый рисунок, который они используют для заверения. </w:t>
      </w:r>
    </w:p>
    <w:p w14:paraId="6C07F641" w14:textId="0CCB902A" w:rsidR="00A752F4" w:rsidRDefault="00A752F4" w:rsidP="003F0C2B">
      <w:r>
        <w:br w:type="page"/>
      </w:r>
    </w:p>
    <w:p w14:paraId="1CB0AB94" w14:textId="0129AD0B" w:rsidR="00DD2137" w:rsidRDefault="00A752F4" w:rsidP="00A752F4">
      <w:pPr>
        <w:pStyle w:val="1"/>
      </w:pPr>
      <w:bookmarkStart w:id="3" w:name="_Toc501939323"/>
      <w:r>
        <w:lastRenderedPageBreak/>
        <w:t xml:space="preserve">Глава </w:t>
      </w:r>
      <w:r>
        <w:rPr>
          <w:lang w:val="en-US"/>
        </w:rPr>
        <w:t>II</w:t>
      </w:r>
      <w:r w:rsidRPr="009C5373">
        <w:t xml:space="preserve"> </w:t>
      </w:r>
      <w:r w:rsidR="004171CE">
        <w:t>Правовое и т</w:t>
      </w:r>
      <w:r w:rsidR="00DD2137">
        <w:t xml:space="preserve">ерминологическое обеспечение внедрения информационных технологий </w:t>
      </w:r>
      <w:r w:rsidR="003D71D5">
        <w:t>в гражданско</w:t>
      </w:r>
      <w:r w:rsidR="00A53DA8">
        <w:t>е</w:t>
      </w:r>
      <w:r w:rsidR="003D71D5">
        <w:t xml:space="preserve"> судопроизводств</w:t>
      </w:r>
      <w:r w:rsidR="00A53DA8">
        <w:t>о</w:t>
      </w:r>
      <w:bookmarkEnd w:id="3"/>
      <w:r w:rsidR="003D71D5">
        <w:t xml:space="preserve"> </w:t>
      </w:r>
    </w:p>
    <w:p w14:paraId="724C6146" w14:textId="5769F9AC" w:rsidR="00A752F4" w:rsidRDefault="00A752F4" w:rsidP="00E46E41">
      <w:pPr>
        <w:tabs>
          <w:tab w:val="left" w:pos="4184"/>
        </w:tabs>
      </w:pPr>
    </w:p>
    <w:p w14:paraId="179C0D16" w14:textId="626AE71A" w:rsidR="00E46E41" w:rsidRPr="00E46E41" w:rsidRDefault="00A53DA8" w:rsidP="00E46E41">
      <w:pPr>
        <w:tabs>
          <w:tab w:val="left" w:pos="4184"/>
        </w:tabs>
      </w:pPr>
      <w:r>
        <w:t xml:space="preserve">Внедрение информационных технологий в гражданское судопроизводство требует переосмысления многих норм. Так, например, статья </w:t>
      </w:r>
      <w:r w:rsidR="00E46E41">
        <w:t xml:space="preserve">131 ГПК РФ называется «Форма и содержание искового заявления», она содержит требования и для иных видов обращения в суд, например, в рамках особого производства, предусмотренного подразделом </w:t>
      </w:r>
      <w:r w:rsidR="00E46E41">
        <w:rPr>
          <w:lang w:val="en-US"/>
        </w:rPr>
        <w:t>IV</w:t>
      </w:r>
      <w:r w:rsidR="00E46E41" w:rsidRPr="00E46E41">
        <w:t xml:space="preserve"> </w:t>
      </w:r>
      <w:r w:rsidR="00E46E41">
        <w:t xml:space="preserve">ГПК РФ. </w:t>
      </w:r>
    </w:p>
    <w:p w14:paraId="1ED919B7" w14:textId="5CBA550F" w:rsidR="00E46E41" w:rsidRDefault="00206D5A" w:rsidP="00206D5A">
      <w:r>
        <w:t xml:space="preserve">В силу принципа доступности судебной защиты перечень требований достаточно прост. </w:t>
      </w:r>
      <w:r w:rsidR="00E46E41">
        <w:t>В соответствии</w:t>
      </w:r>
      <w:r w:rsidR="00856850">
        <w:t xml:space="preserve"> с частью</w:t>
      </w:r>
      <w:r w:rsidR="00E46E41">
        <w:t> 1 статья 131 ГПК РФ обращение в суд должно быть подано в суд исключительно в письменной форме. В содержании такого обращения должно быть указано, наименование суда, в который подаётся заявление, наименование истца и ответчика, их идентифицирующие данные, в чём заключается нарушение или угроза нарушения прав, обстоятельства, на основе которых предъявлены требования, перечень прилагаемых к обращению документов, а также, если необходимо, цена иска и сведения о досудебном порядке урегулирования</w:t>
      </w:r>
      <w:r w:rsidR="00856850">
        <w:t xml:space="preserve"> спора (часть</w:t>
      </w:r>
      <w:r w:rsidR="00E46E41">
        <w:t xml:space="preserve"> 2 статьи 131 ГПК РФ). </w:t>
      </w:r>
    </w:p>
    <w:p w14:paraId="74E23396" w14:textId="6D1BE091" w:rsidR="00856850" w:rsidRDefault="00206D5A" w:rsidP="00206D5A">
      <w:r>
        <w:t>При кажущейся простоте на самом деле требуется разъяснение и особенно в связи с внедрение информационных</w:t>
      </w:r>
      <w:r w:rsidR="003A2DD2">
        <w:t xml:space="preserve"> технологий. Следует сосредоточить </w:t>
      </w:r>
      <w:r>
        <w:t xml:space="preserve">внимание, </w:t>
      </w:r>
      <w:r w:rsidR="003A2DD2">
        <w:t>на требование к фо</w:t>
      </w:r>
      <w:r w:rsidR="00BF6108">
        <w:t>рме: она должна быть письменной.</w:t>
      </w:r>
      <w:r w:rsidR="003A2DD2">
        <w:t xml:space="preserve"> </w:t>
      </w:r>
      <w:r w:rsidR="00BF6108">
        <w:t xml:space="preserve">До сегодняшнего момента, </w:t>
      </w:r>
      <w:r>
        <w:t xml:space="preserve">наверное, это не требовало пояснений, потому что длительное время мы понимали письменную форму </w:t>
      </w:r>
      <w:proofErr w:type="gramStart"/>
      <w:r>
        <w:t>как либо</w:t>
      </w:r>
      <w:proofErr w:type="gramEnd"/>
      <w:r>
        <w:t xml:space="preserve"> заявление, написанное от руки на бумажном носителе, либо </w:t>
      </w:r>
      <w:r w:rsidR="00BF6108">
        <w:t>документ, выполненный</w:t>
      </w:r>
      <w:r>
        <w:t xml:space="preserve"> с помощью каких-то машинописных средств. </w:t>
      </w:r>
      <w:r w:rsidR="00856850">
        <w:t xml:space="preserve">По истечении времени в </w:t>
      </w:r>
      <w:r w:rsidR="00BF6108">
        <w:t>анализируемую</w:t>
      </w:r>
      <w:r w:rsidR="00856850">
        <w:t xml:space="preserve"> статью были внесены существенные изменения – введён абзац 2 части 4 следующего содержания: </w:t>
      </w:r>
    </w:p>
    <w:p w14:paraId="0725288B" w14:textId="3CC76DDF" w:rsidR="00856850" w:rsidRDefault="00856850" w:rsidP="00206D5A">
      <w:r>
        <w:t>«</w:t>
      </w:r>
      <w:r w:rsidR="00BF6108">
        <w:t xml:space="preserve">Исковое заявление, подаваемое посредством заполнения формы, размещённой на официальном сайте суда в информационно-телекоммуникационной сети «Интернет», содержащее ходатайство об обеспечении </w:t>
      </w:r>
      <w:r w:rsidR="00BF6108">
        <w:lastRenderedPageBreak/>
        <w:t xml:space="preserve">иска, подписывается усиленной квалифицированной электронной подписью в порядке, установленном законодательством Российской Федерации». </w:t>
      </w:r>
    </w:p>
    <w:p w14:paraId="70CA7E46" w14:textId="556B3E52" w:rsidR="00206D5A" w:rsidRDefault="00BF6108" w:rsidP="007D6843">
      <w:r>
        <w:t>В законе несколько раз употребляется слово «форма», тем не менее, имеются в виду его различные значения, и,</w:t>
      </w:r>
      <w:r w:rsidR="00206D5A">
        <w:t xml:space="preserve"> как представляется</w:t>
      </w:r>
      <w:r>
        <w:t>,</w:t>
      </w:r>
      <w:r w:rsidR="00206D5A">
        <w:t xml:space="preserve"> есть </w:t>
      </w:r>
      <w:r>
        <w:t>необходимость</w:t>
      </w:r>
      <w:r w:rsidR="00206D5A">
        <w:t xml:space="preserve"> в толковании,</w:t>
      </w:r>
      <w:r>
        <w:t xml:space="preserve"> понятия письменной формы обращения в суд, в частности, её соотношение с возможностью обращения в суд посредством информационно-телекоммуникационной сети «Интернет. Официальное толкование следовало бы поместить в первой же части статьи 131 ГПК РФ, раскрывая тем самым и самом требование, что значат заявление подаётся в суд в письменной форме. </w:t>
      </w:r>
    </w:p>
    <w:p w14:paraId="1B79DF94" w14:textId="77777777" w:rsidR="00206D5A" w:rsidRDefault="00206D5A" w:rsidP="00206D5A">
      <w:r>
        <w:t>Данное положение конкретизируется в статье 3 Гражданского процессуального кодекса РФ</w:t>
      </w:r>
      <w:r>
        <w:rPr>
          <w:rStyle w:val="aa"/>
        </w:rPr>
        <w:footnoteReference w:id="15"/>
      </w:r>
      <w:r>
        <w:t xml:space="preserve"> (далее – ГПК РФ), которая называется «Право на обращение в суд». Проявлением динамики современного законодательства, о котором говорится во введении к данной работе, можно считать относительно недавнее внесение крупного изменения в названную статью</w:t>
      </w:r>
      <w:r>
        <w:rPr>
          <w:rStyle w:val="aa"/>
        </w:rPr>
        <w:footnoteReference w:id="16"/>
      </w:r>
      <w:r>
        <w:t>, а именно дополнение её частью 1</w:t>
      </w:r>
      <w:r w:rsidRPr="00C41039">
        <w:rPr>
          <w:vertAlign w:val="superscript"/>
        </w:rPr>
        <w:t>1</w:t>
      </w:r>
      <w:r>
        <w:t xml:space="preserve">. Норма, содержащаяся в ней, устанавливает, что заявление в суд, в частности, исковое заявление, может быть подано в суд на бумажном носителе или в электронном виде. </w:t>
      </w:r>
    </w:p>
    <w:p w14:paraId="2D82FB78" w14:textId="77777777" w:rsidR="00206D5A" w:rsidRDefault="00206D5A" w:rsidP="00206D5A">
      <w:r>
        <w:t>Общие требования к исковому заявлению содержатся в статье 131 ГПК РФ. Первое из них – это требование к форме – исключительно письменная, как указано в пункте 1 названной статьи. Иных уточнений относительно формы искового заявления действующий ГПК РФ не содержит. Тем не менее, в содержании вышеприведённой части 1</w:t>
      </w:r>
      <w:r w:rsidRPr="00C41039">
        <w:rPr>
          <w:vertAlign w:val="superscript"/>
        </w:rPr>
        <w:t>1</w:t>
      </w:r>
      <w:r>
        <w:t xml:space="preserve"> статьи 3, раскрывается некоторый аспект обращения в электронном виде, а именно, что это может быть документ в электронной форме или заполненная форма на официальном сайте суда в информационно-телекоммуникационной сети «Интернет». Слово «форма» повторилось несколько </w:t>
      </w:r>
      <w:r>
        <w:lastRenderedPageBreak/>
        <w:t xml:space="preserve">раз и каждый раз с различным оттенком значения, что может вызвать трудности в толковании анализируемых норм. </w:t>
      </w:r>
    </w:p>
    <w:p w14:paraId="14F6081B" w14:textId="20ABF338" w:rsidR="00206D5A" w:rsidRDefault="0069788E" w:rsidP="0069788E">
      <w:r>
        <w:t>Анализируя содержание другого процессуального кодекса – Арбитражного процессуального кодекса РФ</w:t>
      </w:r>
      <w:r>
        <w:rPr>
          <w:rStyle w:val="aa"/>
        </w:rPr>
        <w:footnoteReference w:id="17"/>
      </w:r>
      <w:r>
        <w:t>– отмечаем, что требование о письменной форме сформулировано хотя и не более развёрнуто, но структура самой нормы о возможности обращения более продумана: все аспекты формы обращения раскрыты в одной части статьи.</w:t>
      </w:r>
      <w:r w:rsidR="00692509">
        <w:t xml:space="preserve"> </w:t>
      </w:r>
    </w:p>
    <w:p w14:paraId="4E9D7EDC" w14:textId="20C3406B" w:rsidR="0069788E" w:rsidRDefault="0069788E" w:rsidP="0069788E">
      <w:r>
        <w:t>«</w:t>
      </w:r>
      <w:r w:rsidRPr="0069788E">
        <w:t>Исковое заявление подается в арбитражный суд в письменной форме. Исковое заявление подписывается истцом или его представителем. Исковое заявление также может быть подано в арбитражный суд посредством заполнения формы, размещенной на официальном сайте арбитражного суда в информационно-телекоммуникационной сети "Интернет"</w:t>
      </w:r>
      <w:r>
        <w:t xml:space="preserve">». </w:t>
      </w:r>
    </w:p>
    <w:p w14:paraId="6F8A63B3" w14:textId="585863C4" w:rsidR="00206D5A" w:rsidRDefault="007E05AE" w:rsidP="00206D5A">
      <w:r>
        <w:t>Т</w:t>
      </w:r>
      <w:r w:rsidR="00206D5A">
        <w:t xml:space="preserve">ребование о письменной форме не так очевидно, как может показаться на первый взгляд. </w:t>
      </w:r>
    </w:p>
    <w:p w14:paraId="6DD21ABC" w14:textId="3024B0AC" w:rsidR="00206D5A" w:rsidRDefault="00206D5A" w:rsidP="00F01637">
      <w:r>
        <w:t>ГПК РФ не содержит какого-либо разъяснения по данному вопросу</w:t>
      </w:r>
      <w:r w:rsidR="00541146">
        <w:t xml:space="preserve">, </w:t>
      </w:r>
      <w:proofErr w:type="gramStart"/>
      <w:r w:rsidR="00541146">
        <w:t>также</w:t>
      </w:r>
      <w:proofErr w:type="gramEnd"/>
      <w:r w:rsidR="00541146">
        <w:t xml:space="preserve"> как и теория. В подтверждение этому можно считать, что практические комментарии</w:t>
      </w:r>
      <w:r w:rsidR="00541146">
        <w:rPr>
          <w:rStyle w:val="aa"/>
        </w:rPr>
        <w:footnoteReference w:id="18"/>
      </w:r>
      <w:r w:rsidR="00541146">
        <w:t xml:space="preserve"> к анализируемой статье не дают понятия, что такое письменная форма обращения в суд.</w:t>
      </w:r>
      <w:r>
        <w:t xml:space="preserve"> </w:t>
      </w:r>
      <w:r w:rsidRPr="00541146">
        <w:t>Вероятно</w:t>
      </w:r>
      <w:r w:rsidR="00541146">
        <w:t>,</w:t>
      </w:r>
      <w:r w:rsidRPr="00541146">
        <w:t xml:space="preserve"> </w:t>
      </w:r>
      <w:r w:rsidR="00541146" w:rsidRPr="00541146">
        <w:t>отсутствие</w:t>
      </w:r>
      <w:r w:rsidRPr="00541146">
        <w:t xml:space="preserve"> специальных комментариев у авторо</w:t>
      </w:r>
      <w:r w:rsidR="00541146">
        <w:t>в</w:t>
      </w:r>
      <w:r w:rsidRPr="00541146">
        <w:t xml:space="preserve"> объясняется тем, что</w:t>
      </w:r>
      <w:r w:rsidR="00541146">
        <w:t xml:space="preserve">, как уже отмечалось ранее, во время составления действующего ГПК РФ развитие технологий не </w:t>
      </w:r>
      <w:r w:rsidR="000F272F">
        <w:t>было столь</w:t>
      </w:r>
      <w:r w:rsidR="00F01637">
        <w:t xml:space="preserve"> велико, и альтернативе обращения в суд, составленного на бумаге не существовал</w:t>
      </w:r>
      <w:r w:rsidRPr="00541146">
        <w:t>о</w:t>
      </w:r>
      <w:r w:rsidR="00F01637">
        <w:t>, и отсутствовала необходимость специального толкования понятия письменной формы</w:t>
      </w:r>
      <w:r w:rsidRPr="00541146">
        <w:t>, а сейчас, когда она возникла</w:t>
      </w:r>
      <w:r w:rsidR="00F01637">
        <w:t>,</w:t>
      </w:r>
      <w:r w:rsidRPr="00541146">
        <w:t xml:space="preserve"> ещё не всеми до конца это осознано. </w:t>
      </w:r>
      <w:r>
        <w:t xml:space="preserve">Представляется, что использование информационных технологий при обращении в суд, наполняет </w:t>
      </w:r>
      <w:r>
        <w:lastRenderedPageBreak/>
        <w:t xml:space="preserve">требование о письменной форме новым содержанием, которое следовало бы определить в ГПК РФ. </w:t>
      </w:r>
    </w:p>
    <w:p w14:paraId="42797F69" w14:textId="02CBEFC7" w:rsidR="00F01637" w:rsidRDefault="00F01637" w:rsidP="00F01637">
      <w:r>
        <w:t xml:space="preserve">Анализируя нормы ГПК РФ в системе, отмечаем, что понятие письменной формы важно установить не только применительно к обращению в суд. Например, понятие письменных доказательств также оперирует письменной формой </w:t>
      </w:r>
    </w:p>
    <w:p w14:paraId="6DA855AB" w14:textId="2A92F591" w:rsidR="00F01637" w:rsidRDefault="00F01637" w:rsidP="00F01637">
      <w:r>
        <w:t>«П</w:t>
      </w:r>
      <w:r w:rsidRPr="00F01637">
        <w:t>исьменными доказательствами являются содержащие сведения об обстоятельствах, имеющих значение для рассмотрения и разрешения дела, акты, договоры, справки, деловая корреспонденция, иные документы и материалы, выполненные в форме цифровой, графической записи, в том числе полученные посредством факсимильной, электронной или другой связи, с использованием информационно-телекоммуникационной сети "Интернет", документы, подписанные электронной подписью в порядке, установленном законодательством Российской Федерации, либо выполненные иным позволяющим установить достоверность документа способом. К письменным доказательствам относятся приговоры и решения суда, иные судебные постановления, протоколы совершения процессуальных действий, протоколы судебных заседаний, приложения к протоколам совершения процессуальных действий (схемы, карты, планы, чертежи)</w:t>
      </w:r>
      <w:r>
        <w:t>»</w:t>
      </w:r>
      <w:r>
        <w:rPr>
          <w:rStyle w:val="aa"/>
        </w:rPr>
        <w:footnoteReference w:id="19"/>
      </w:r>
      <w:r>
        <w:t xml:space="preserve">. </w:t>
      </w:r>
    </w:p>
    <w:p w14:paraId="0C61A3F2" w14:textId="1A1199E3" w:rsidR="00F01637" w:rsidRDefault="00207EF9" w:rsidP="00F01637">
      <w:r>
        <w:t xml:space="preserve">При описании понятия «письменные доказательства» используется конструкция перечисления таких возможных доказательства. Попытка обобщения заключается в определении особой формы – цифровая, графическая запись. Иными словами, письменная форма. Особое внимание следует уделить признаку цифровой записи, так как </w:t>
      </w:r>
      <w:r w:rsidR="003F7C64">
        <w:t xml:space="preserve">он позволяет в полной мере описать обращение в электронном виде. Указание на цифровую запись целесообразно использовать при характеристике письменной формы обращения с заявлением в суд, содержащимся в части 1 статьи 131 ГПК РФ. </w:t>
      </w:r>
    </w:p>
    <w:p w14:paraId="73472C25" w14:textId="42460541" w:rsidR="00206D5A" w:rsidRDefault="00206D5A" w:rsidP="00206D5A">
      <w:r>
        <w:lastRenderedPageBreak/>
        <w:t>Понятие письменной формы не исключительно для гражданского процесса. В нормах тесно связанного с ним гражданского права оно тоже встречается. Как небезосновательно отмечают некоторые авторы, данное понятие в Законе не содержится, в научной литературе определяется редко</w:t>
      </w:r>
      <w:r>
        <w:rPr>
          <w:rStyle w:val="aa"/>
        </w:rPr>
        <w:footnoteReference w:id="20"/>
      </w:r>
      <w:r>
        <w:t xml:space="preserve">. </w:t>
      </w:r>
      <w:r w:rsidR="00F1425F">
        <w:t xml:space="preserve">Одним из главных видов доказательств являются документы – выражение сделок </w:t>
      </w:r>
      <w:r>
        <w:t>Пункт 1 статьи 158 Гражданского кодекса РФ (далее – ГК РФ)</w:t>
      </w:r>
      <w:r>
        <w:rPr>
          <w:rStyle w:val="aa"/>
        </w:rPr>
        <w:footnoteReference w:id="21"/>
      </w:r>
      <w:r>
        <w:t xml:space="preserve"> устанавливает форму сделки, в том числе и письменную. Положения пункта 1 статьи 160 ГК РФ в некоторой степени конкретизируют понятие письменной формы сделки, путём использования условий: </w:t>
      </w:r>
    </w:p>
    <w:p w14:paraId="0C757CEF" w14:textId="77777777" w:rsidR="00206D5A" w:rsidRDefault="00206D5A" w:rsidP="00D7358E">
      <w:pPr>
        <w:pStyle w:val="a"/>
        <w:numPr>
          <w:ilvl w:val="0"/>
          <w:numId w:val="14"/>
        </w:numPr>
        <w:ind w:left="0" w:firstLine="709"/>
      </w:pPr>
      <w:r>
        <w:t xml:space="preserve">составление документа, выражающего содержание сделки; </w:t>
      </w:r>
    </w:p>
    <w:p w14:paraId="1246891C" w14:textId="77777777" w:rsidR="00206D5A" w:rsidRDefault="00206D5A" w:rsidP="00D7358E">
      <w:pPr>
        <w:pStyle w:val="a"/>
        <w:ind w:left="0" w:firstLine="709"/>
      </w:pPr>
      <w:r>
        <w:t xml:space="preserve">подписание лицами, совершающими сделку, или их уполномоченными представителями. </w:t>
      </w:r>
    </w:p>
    <w:p w14:paraId="3706B810" w14:textId="77777777" w:rsidR="00206D5A" w:rsidRDefault="00206D5A" w:rsidP="00206D5A">
      <w:r>
        <w:t>Применительно к письменной форме искового заявления, как требования к форме искового заявления, по аналогии с вышеприведёнными нормами стоило бы указать, что письменная форма искового заявления означает наличие документа, независимо от его вида (электронного или бумажного), который является выражением воли лица обратиться в суд, подписанного этим лицом или его представителем, в том числе и путём использования электронной подписи, в порядке, установленном законодательством РФ. Такое дополнение к пункту 1 статьи 131 ГПК РФ согласуется с нормой, закреплённой в части 1</w:t>
      </w:r>
      <w:r w:rsidRPr="00285B30">
        <w:rPr>
          <w:vertAlign w:val="superscript"/>
        </w:rPr>
        <w:t>1</w:t>
      </w:r>
      <w:r>
        <w:t xml:space="preserve"> статьи 3 кодекса, устанавливающей способы подачи обращения в суд. </w:t>
      </w:r>
    </w:p>
    <w:p w14:paraId="6837FBEE" w14:textId="3B4C10AE" w:rsidR="009E5BA4" w:rsidRDefault="00F1425F" w:rsidP="00F1425F">
      <w:r w:rsidRPr="00F1425F">
        <w:t>С удовлетворением можно констатировать</w:t>
      </w:r>
      <w:r>
        <w:t>,</w:t>
      </w:r>
      <w:r w:rsidRPr="00F1425F">
        <w:t xml:space="preserve"> что активно происходит влечение</w:t>
      </w:r>
      <w:r w:rsidR="009E5BA4">
        <w:t xml:space="preserve"> информационных технологий в судебную систему. Подтверждением тому можно считать изменения,</w:t>
      </w:r>
      <w:r>
        <w:t xml:space="preserve"> </w:t>
      </w:r>
      <w:r w:rsidR="009E5BA4">
        <w:t xml:space="preserve">вносимые в ГПК РФ в этой связи. В частности, </w:t>
      </w:r>
      <w:r>
        <w:t xml:space="preserve">как уже было отмечено ранее, </w:t>
      </w:r>
      <w:r w:rsidR="009E5BA4">
        <w:t>введение ФЗ</w:t>
      </w:r>
      <w:r w:rsidR="009E5BA4" w:rsidRPr="009E5BA4">
        <w:t xml:space="preserve"> от 23.06.2016 N 220-ФЗ</w:t>
      </w:r>
      <w:r w:rsidR="009E5BA4">
        <w:rPr>
          <w:rStyle w:val="aa"/>
        </w:rPr>
        <w:footnoteReference w:id="22"/>
      </w:r>
      <w:r w:rsidR="009E5BA4">
        <w:t xml:space="preserve"> </w:t>
      </w:r>
      <w:r w:rsidR="00CB47F1">
        <w:t xml:space="preserve">в ст. 3 </w:t>
      </w:r>
      <w:r w:rsidR="009E5BA4">
        <w:t xml:space="preserve">части 1.1, которая </w:t>
      </w:r>
      <w:r w:rsidR="009E5BA4">
        <w:lastRenderedPageBreak/>
        <w:t xml:space="preserve">устанавливает, что обращение в суд может быть подано на бумажном носителе или в электронном виде. Применительно к последнему ГПК устанавливает особую форму – электронный документ. </w:t>
      </w:r>
      <w:r w:rsidR="00F71AAA">
        <w:t xml:space="preserve">Однако, что представляет собой </w:t>
      </w:r>
      <w:r w:rsidR="006B13D7">
        <w:t>«</w:t>
      </w:r>
      <w:r w:rsidR="00F71AAA">
        <w:t xml:space="preserve">электронный документ», не поясняет. </w:t>
      </w:r>
    </w:p>
    <w:p w14:paraId="5B3FED36" w14:textId="733B7E29" w:rsidR="00F1425F" w:rsidRDefault="00F1425F" w:rsidP="005A4194">
      <w:r>
        <w:t xml:space="preserve">Изменений, внесённых в ГПК РФ в связи с внедрением информационных технологий, в особенности, применяемые к обращению в суд в электронном виде, недостаточно. Не хватает описанных в Законе правовых механизмов регулирования. Нет </w:t>
      </w:r>
      <w:r w:rsidR="002607FA">
        <w:t xml:space="preserve">их системы. </w:t>
      </w:r>
      <w:r w:rsidRPr="002607FA">
        <w:t xml:space="preserve">Если попытаться проанализировать весь массив законодательства, </w:t>
      </w:r>
      <w:r w:rsidR="002607FA">
        <w:t>то можно обнаружить</w:t>
      </w:r>
      <w:r w:rsidRPr="002607FA">
        <w:t xml:space="preserve"> </w:t>
      </w:r>
      <w:r w:rsidR="002607FA">
        <w:t>Приказ от 27.12.2016 N 251</w:t>
      </w:r>
      <w:r w:rsidR="002607FA">
        <w:rPr>
          <w:rStyle w:val="aa"/>
        </w:rPr>
        <w:footnoteReference w:id="23"/>
      </w:r>
      <w:r w:rsidR="002607FA">
        <w:t xml:space="preserve"> (далее –Приказ), который в некоторой степени регулирует общественные отношения по обращению в суд в электронном виде. </w:t>
      </w:r>
      <w:r w:rsidR="00B627D5">
        <w:t xml:space="preserve">Возникает </w:t>
      </w:r>
      <w:r w:rsidR="005A4194">
        <w:t>неочевидная ситуация: нормы, регулирующие порядок и процедуру, содержатся не в специально созданном для этого документе – процессуальном кодексе.</w:t>
      </w:r>
      <w:r w:rsidRPr="002607FA">
        <w:t xml:space="preserve"> </w:t>
      </w:r>
    </w:p>
    <w:p w14:paraId="0CD64797" w14:textId="5DCAD54D" w:rsidR="00F94630" w:rsidRDefault="005A4194" w:rsidP="00F94630">
      <w:r>
        <w:t>Приказ</w:t>
      </w:r>
      <w:r w:rsidR="00F94630">
        <w:t xml:space="preserve"> содержит перечень основных понятий, давая </w:t>
      </w:r>
      <w:r>
        <w:t xml:space="preserve">их </w:t>
      </w:r>
      <w:r w:rsidR="00F94630">
        <w:t xml:space="preserve">информационно насыщенное сжатое определение. В частности, и определение понятия «электронный документ» – </w:t>
      </w:r>
      <w:r w:rsidR="000A116B" w:rsidRPr="000A116B">
        <w:t>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</w:t>
      </w:r>
      <w:r w:rsidR="000A116B">
        <w:t xml:space="preserve">ательством Российской Федерации. </w:t>
      </w:r>
    </w:p>
    <w:p w14:paraId="47D54258" w14:textId="02E46355" w:rsidR="000A116B" w:rsidRDefault="000A116B" w:rsidP="00F94630">
      <w:r>
        <w:t xml:space="preserve">Конечно, можно считать неудачным определение понятия документа, пусть и электронного, через </w:t>
      </w:r>
      <w:r w:rsidR="005A4194">
        <w:t>само понятие</w:t>
      </w:r>
      <w:r>
        <w:t xml:space="preserve"> «документ». Возникают определённые трудности при соотношении понятий «электронный вид», закреплённого в ст. 3 ГПК РФ, и «электронная форма», обещающего дать понимание того, что есть электронный документ. </w:t>
      </w:r>
    </w:p>
    <w:p w14:paraId="3F0845DE" w14:textId="1031AB8B" w:rsidR="003071EA" w:rsidRDefault="005A4194" w:rsidP="005A4194">
      <w:r>
        <w:t>Законодатель использует и б</w:t>
      </w:r>
      <w:r w:rsidR="004171CE">
        <w:t>олее</w:t>
      </w:r>
      <w:r>
        <w:t xml:space="preserve"> развёрнутое</w:t>
      </w:r>
      <w:r w:rsidR="004171CE">
        <w:t xml:space="preserve"> </w:t>
      </w:r>
      <w:r w:rsidR="003071EA">
        <w:t xml:space="preserve">определение электронного документа: электронный документ – это </w:t>
      </w:r>
      <w:r w:rsidR="003071EA" w:rsidRPr="006C11ED">
        <w:t xml:space="preserve">документированная информация, представленная в электронной форме, то есть в виде, пригодном для восприятия </w:t>
      </w:r>
      <w:r w:rsidR="003071EA" w:rsidRPr="006C11ED">
        <w:lastRenderedPageBreak/>
        <w:t>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="003071EA">
        <w:rPr>
          <w:rStyle w:val="aa"/>
        </w:rPr>
        <w:footnoteReference w:id="24"/>
      </w:r>
      <w:r w:rsidR="003071EA">
        <w:t xml:space="preserve">. </w:t>
      </w:r>
      <w:r w:rsidR="008D596E">
        <w:t xml:space="preserve">В данном случае под документом понимается некая информация, которая имеет особую форму – электронную. Далее поясняется, что из себя представляет такая электронная форма: </w:t>
      </w:r>
    </w:p>
    <w:p w14:paraId="07CE2847" w14:textId="3F49D477" w:rsidR="008D596E" w:rsidRDefault="008D596E" w:rsidP="00C21433">
      <w:pPr>
        <w:pStyle w:val="a"/>
        <w:numPr>
          <w:ilvl w:val="0"/>
          <w:numId w:val="8"/>
        </w:numPr>
        <w:ind w:left="0" w:firstLine="709"/>
      </w:pPr>
      <w:r>
        <w:t xml:space="preserve">это вид представления информации; </w:t>
      </w:r>
    </w:p>
    <w:p w14:paraId="0E68A789" w14:textId="3868BA64" w:rsidR="008D596E" w:rsidRDefault="008D596E" w:rsidP="00C21433">
      <w:pPr>
        <w:pStyle w:val="a"/>
        <w:numPr>
          <w:ilvl w:val="0"/>
          <w:numId w:val="8"/>
        </w:numPr>
        <w:ind w:left="0" w:firstLine="709"/>
      </w:pPr>
      <w:r>
        <w:t xml:space="preserve">такая информация может восприниматься и обрабатываться человеком; </w:t>
      </w:r>
    </w:p>
    <w:p w14:paraId="24C350A4" w14:textId="40E0D62B" w:rsidR="008D596E" w:rsidRDefault="008D596E" w:rsidP="00C21433">
      <w:pPr>
        <w:pStyle w:val="a"/>
        <w:numPr>
          <w:ilvl w:val="0"/>
          <w:numId w:val="8"/>
        </w:numPr>
        <w:ind w:left="0" w:firstLine="709"/>
      </w:pPr>
      <w:r>
        <w:t xml:space="preserve">для восприятия и обработки такой информации человеку необходимо воспользоваться специализированным устройством – компьютером (ЭВМ); </w:t>
      </w:r>
    </w:p>
    <w:p w14:paraId="150EF222" w14:textId="4ADD4FF0" w:rsidR="008D596E" w:rsidRDefault="008D596E" w:rsidP="00C21433">
      <w:pPr>
        <w:pStyle w:val="a"/>
        <w:numPr>
          <w:ilvl w:val="0"/>
          <w:numId w:val="8"/>
        </w:numPr>
        <w:ind w:left="0" w:firstLine="709"/>
      </w:pPr>
      <w:r>
        <w:t xml:space="preserve">она обладает возможностью передачи по «Интернет». </w:t>
      </w:r>
    </w:p>
    <w:p w14:paraId="3B6D3748" w14:textId="1644F77F" w:rsidR="003071EA" w:rsidRDefault="008D596E" w:rsidP="003071EA">
      <w:r>
        <w:t xml:space="preserve">Такой исчерпывающий набор признаков электронного документа однозначно формирует представление об электронном документе. Для использования в целях урегулирования процессуальных отношений в ГПК РФ он даже избыточен. </w:t>
      </w:r>
      <w:r w:rsidR="00741F27">
        <w:t xml:space="preserve">В кодексе не следует ссылаться на то, что обработка человеком осуществляется посредством ЭВМ, так как указывая возможность передачи такого документа по сети «Интернет», </w:t>
      </w:r>
      <w:proofErr w:type="spellStart"/>
      <w:r w:rsidR="00741F27">
        <w:t>презюмируется</w:t>
      </w:r>
      <w:proofErr w:type="spellEnd"/>
      <w:r w:rsidR="00741F27">
        <w:t xml:space="preserve">, что для этого необходимы специальные технические устройства. </w:t>
      </w:r>
      <w:r w:rsidR="00945767">
        <w:t>Поэтому</w:t>
      </w:r>
      <w:r w:rsidR="00F21924">
        <w:t xml:space="preserve">, принимая во внимание всё вышесказанное, можно </w:t>
      </w:r>
      <w:r w:rsidR="001669CB">
        <w:t>сформулировать понятие электронного документа в ГПК</w:t>
      </w:r>
      <w:r w:rsidR="00F21924">
        <w:t> </w:t>
      </w:r>
      <w:r w:rsidR="001669CB">
        <w:t xml:space="preserve">РФ следующим образом: </w:t>
      </w:r>
    </w:p>
    <w:p w14:paraId="6ED78C0A" w14:textId="1EE41255" w:rsidR="00F21924" w:rsidRDefault="00F21924" w:rsidP="003071EA">
      <w:r>
        <w:t xml:space="preserve">Электронный документ – это информация, созданная посредством цифровой записи, приспособленная для передачи посредством информационно-телекоммуникационной сети «Интернет». </w:t>
      </w:r>
    </w:p>
    <w:p w14:paraId="2EA011A9" w14:textId="28C01A9D" w:rsidR="00F21924" w:rsidRDefault="00F21924" w:rsidP="003071EA">
      <w:r>
        <w:t xml:space="preserve">Предложенное определение не обладает недостатком, который был обнаружен в определении, указном в Приказе: понятие не определяется с помощью самого понятия (электронный документ – документ). В предложенном определении внимание сосредоточено </w:t>
      </w:r>
      <w:r w:rsidR="00644276">
        <w:t xml:space="preserve">на таком признаке как </w:t>
      </w:r>
      <w:r w:rsidR="00FB3EBE">
        <w:t xml:space="preserve">особый символьное </w:t>
      </w:r>
      <w:r w:rsidR="00FB3EBE">
        <w:lastRenderedPageBreak/>
        <w:t xml:space="preserve">представление – цифровая записи, то есть воспринимаемая ЭВМ, легко ей конвертируемая в </w:t>
      </w:r>
      <w:r w:rsidR="00C9112B">
        <w:t xml:space="preserve">понятный человеку вид. Наконец, от громоздкости позволяет избавится такой признак, как приспособленность обмена посредством «Интернет», что априори предполагает некоторое выражение в виде, например, файла, которые может быть передан от одного лица другому без искажения и потери содержания. </w:t>
      </w:r>
    </w:p>
    <w:p w14:paraId="12FD4D03" w14:textId="5080B6AD" w:rsidR="007F4DBD" w:rsidRDefault="007F4DBD" w:rsidP="00C2359E">
      <w:r>
        <w:t>Рассматривая прямо установленные требования к форме и содержанию искового заявления, содержащиеся в ст. 131 ГПК РФ, мы обращаем внимание, что детальная конкретизация порядка обращения в электронном виде</w:t>
      </w:r>
      <w:r w:rsidR="00D7299A">
        <w:t xml:space="preserve"> отсутствует</w:t>
      </w:r>
      <w:r>
        <w:t xml:space="preserve">. Всё, что возможно обнаружить, это требование о наличии квалифицированной электронной подписи к исковому заявлению, подаваемому посредством заполнения формы, размещённой на официальном сайте суда в информационно-телекоммуникационной сети «Интернет», содержащее ходатайство об обеспечении иска. </w:t>
      </w:r>
    </w:p>
    <w:p w14:paraId="69EEC8CD" w14:textId="69B198B1" w:rsidR="000A116B" w:rsidRDefault="000A116B" w:rsidP="00C2359E">
      <w:r>
        <w:t xml:space="preserve">Вышеназванный приказ содержит и другие понятия. Рассмотрим некоторые из них детальнее. </w:t>
      </w:r>
    </w:p>
    <w:p w14:paraId="61E00BB9" w14:textId="327E34E3" w:rsidR="00A37271" w:rsidRDefault="009C5373" w:rsidP="00A37271">
      <w:r>
        <w:t>Внимательно изучая нормы ГПК РФ</w:t>
      </w:r>
      <w:r w:rsidR="003A3EE0">
        <w:t>,</w:t>
      </w:r>
      <w:r>
        <w:t xml:space="preserve"> можно установить, что не уточняет,</w:t>
      </w:r>
      <w:r w:rsidR="003A3EE0">
        <w:t xml:space="preserve"> что такое обращение в суд. </w:t>
      </w:r>
      <w:r w:rsidR="00A37271">
        <w:t xml:space="preserve">Вспоминая содержание уже вышеприведённой ст. 3 ГПК РФ, можно отметить, что она не даёт определение, что такое обращение в суд. В этой статье содержится ответ на вопрос, что такое право на обращение в суд; гарантируется право на обращение в суд. Тем не менее, в соответствии с п. 1.4 Приказа обращение в суд – </w:t>
      </w:r>
      <w:r w:rsidR="00A37271" w:rsidRPr="00A37271">
        <w:t>документ, созданный в соответствии с процессуальным законо</w:t>
      </w:r>
      <w:r w:rsidR="00A37271">
        <w:t>дательством, направленный в суд.</w:t>
      </w:r>
      <w:r w:rsidR="00CA6AB4">
        <w:t xml:space="preserve"> Это важное положение стоило бы продублировать в самом ГПК. </w:t>
      </w:r>
    </w:p>
    <w:p w14:paraId="41D9C67A" w14:textId="01EA95A5" w:rsidR="00CA6AB4" w:rsidRDefault="00CA6AB4" w:rsidP="00A37271">
      <w:r>
        <w:t xml:space="preserve">Анализируя содержание иных нормативно-правовых актов, в частности, Бюджетного кодекса РФ, уголовно-исполнительного кодекса РФ, можно заключить, что их объединяет наличие нормы-статьи, в которой прямо указаны используемые в кодексе понятия. Это следовало бы сделать и в ГПК. Особенно стоит «аккуратно» отнестись к терминологии, относящейся к </w:t>
      </w:r>
      <w:r w:rsidR="00305AF7">
        <w:t xml:space="preserve">использованию </w:t>
      </w:r>
      <w:r w:rsidR="00305AF7">
        <w:lastRenderedPageBreak/>
        <w:t xml:space="preserve">информационных технологий при осуществлении правосудия. </w:t>
      </w:r>
      <w:r w:rsidR="009C5373">
        <w:t xml:space="preserve">В этой связи стоит предпринять попытку составления примерного перечня таких понятий, применительно к обращению в суд в электронном виде, который можно было бы включить в текст ГПК РФ. </w:t>
      </w:r>
    </w:p>
    <w:p w14:paraId="7FDE8696" w14:textId="62B53307" w:rsidR="00EF4E2B" w:rsidRDefault="00EF4E2B" w:rsidP="00DE7968">
      <w:r>
        <w:br w:type="page"/>
      </w:r>
    </w:p>
    <w:p w14:paraId="45ECECB2" w14:textId="2857DB09" w:rsidR="00EF4E2B" w:rsidRDefault="00EF4E2B" w:rsidP="00FF05BB">
      <w:pPr>
        <w:pStyle w:val="1"/>
      </w:pPr>
      <w:bookmarkStart w:id="5" w:name="_Toc501939324"/>
      <w:r>
        <w:lastRenderedPageBreak/>
        <w:t>Заключение</w:t>
      </w:r>
      <w:bookmarkEnd w:id="5"/>
      <w:r>
        <w:t xml:space="preserve"> </w:t>
      </w:r>
    </w:p>
    <w:p w14:paraId="77E78D86" w14:textId="77777777" w:rsidR="00FF05BB" w:rsidRDefault="00FF05BB" w:rsidP="00DE7968"/>
    <w:p w14:paraId="5C738AFA" w14:textId="092D4352" w:rsidR="00EF4E2B" w:rsidRDefault="00EF4E2B" w:rsidP="00DE7968">
      <w:r>
        <w:t xml:space="preserve">Таким образом, основываясь на всём </w:t>
      </w:r>
      <w:r w:rsidR="00FF05BB">
        <w:t>вышесказанном</w:t>
      </w:r>
      <w:r>
        <w:t xml:space="preserve"> можно сделать вывод, что </w:t>
      </w:r>
      <w:r w:rsidR="00FF05BB">
        <w:t xml:space="preserve">нормы современного ГПК РФ не соответствуют реалиям информационных технологий. Предпринятые попытки реформирования оказались несостоятельны, превратив кодекс в подобие лоскутного одеяла. Необходим системный подход. </w:t>
      </w:r>
    </w:p>
    <w:p w14:paraId="287C5B29" w14:textId="70396B04" w:rsidR="00FF05BB" w:rsidRDefault="00FF05BB" w:rsidP="00DE7968">
      <w:r>
        <w:t xml:space="preserve">Следовало бы внести изменения, выражающиеся в конкретизации некоторых терминов, понятий, используемых при регулировании общественных отношений при обращении граждан в суд. Определить процессуальный порядок подачи заявления в суд в электронной форме непосредственно в кодексе. Обеспечить равные требования для идентификации лиц в информационном пространстве. </w:t>
      </w:r>
    </w:p>
    <w:p w14:paraId="5CFC6898" w14:textId="5A457113" w:rsidR="00EF4E2B" w:rsidRDefault="00EF4E2B" w:rsidP="00DE7968"/>
    <w:p w14:paraId="61242A76" w14:textId="77777777" w:rsidR="00B82E63" w:rsidRDefault="00B82E63" w:rsidP="00DE7968">
      <w:pPr>
        <w:sectPr w:rsidR="00B82E63" w:rsidSect="00BA6E4C">
          <w:footerReference w:type="first" r:id="rId11"/>
          <w:footnotePr>
            <w:numRestart w:val="eachPage"/>
          </w:footnotePr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14:paraId="350FC849" w14:textId="10A97204" w:rsidR="00EF4E2B" w:rsidRDefault="00B82E63" w:rsidP="00B82E63">
      <w:pPr>
        <w:pStyle w:val="1"/>
      </w:pPr>
      <w:bookmarkStart w:id="6" w:name="_Toc501939325"/>
      <w:r>
        <w:lastRenderedPageBreak/>
        <w:t>Список использованных источников</w:t>
      </w:r>
      <w:bookmarkEnd w:id="6"/>
      <w:r>
        <w:t xml:space="preserve"> </w:t>
      </w:r>
    </w:p>
    <w:p w14:paraId="660D8D0A" w14:textId="77777777" w:rsidR="00692509" w:rsidRDefault="00B82E63" w:rsidP="00692509">
      <w:pPr>
        <w:pStyle w:val="a"/>
        <w:numPr>
          <w:ilvl w:val="0"/>
          <w:numId w:val="12"/>
        </w:numPr>
        <w:ind w:left="0" w:firstLine="709"/>
      </w:pPr>
      <w:r>
        <w:t xml:space="preserve">Нормативно-правовые акты </w:t>
      </w:r>
    </w:p>
    <w:p w14:paraId="1F4CB2E0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"Арбитражный процессуальный кодекс Российской Федерации" от 24.07.2002 N 95-ФЗ (ред. от 29.07.2017) // "Парламентская газета". – 2002. – N 140-141. </w:t>
      </w:r>
    </w:p>
    <w:p w14:paraId="5C770614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"Гражданский кодекс Российской Федерации (часть первая)" от 18.12.2006 N 230-ФЗ (ред. от 03.07.2016, с изм. от 28.03.2017) (с изм. и доп., вступ. в силу с 01.01.2017) // Собрание законодательства РФ. – 2006. – № 52. – Ст. 5496. </w:t>
      </w:r>
    </w:p>
    <w:p w14:paraId="5D310AC6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"Гражданский процессуальный кодекс Российской Федерации" от 14.11.2002 N 138-ФЗ (ред. от 30.10.2017) // "Собрание законодательства РФ". – .2002. – N 46. – Ст. 4532. </w:t>
      </w:r>
    </w:p>
    <w:p w14:paraId="3D774225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"Собрание законодательства РФ". – 2014. – N 31. – Ст. 4398.</w:t>
      </w:r>
    </w:p>
    <w:p w14:paraId="233154B8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Закон РФ о поправке к Конституции РФ от 05.02.2014 N 2-ФКЗ "О Верховном Суде Российской Федерации и прокуратуре Российской Федерации". // «Собрание законодательства РФ» 9. – 2014. – N 6. – Ст. 548. </w:t>
      </w:r>
    </w:p>
    <w:p w14:paraId="368BD110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Концепция развития информатизации судов до 2020 года (утв. постановлением Президиума Совета судей РФ от 19 февраля 2015 г. N 439) [Электронный ресурс] // URL: http://base.garant.ru/71062432/ (дата обращения: 24.12.2017). </w:t>
      </w:r>
    </w:p>
    <w:p w14:paraId="2CE031D3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>Постановление Правительства РФ «О федеральной целевой программе "Развитие судебной системы России на 2013 - 2020 годы"» // "Собрание законодательства РФ". – 2013. – N 1. – Ст. 13.</w:t>
      </w:r>
    </w:p>
    <w:p w14:paraId="2FE42B6B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Приказ Судебного департамента при Верховном суде РФ от 27.12.2016 N 251"Об утверждении Порядка подачи в федеральные суды общей </w:t>
      </w:r>
      <w:r>
        <w:lastRenderedPageBreak/>
        <w:t>юрисдикции документов в электронном виде, в том числе в форме электронного документа" [Электронный ресурс] // URL http://www.garant.ru/products/ipo/prime/doc/71477352/ (дата обращения: 24.12.2017).</w:t>
      </w:r>
    </w:p>
    <w:p w14:paraId="5F627173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>Федеральный закон от 06.04.2011 N 63-ФЗ (ред. от 23.06.2016) "Об электронной подписи"// "Собрание законодательства РФ". – 2011. – N 15. – Ст. 2036.</w:t>
      </w:r>
    </w:p>
    <w:p w14:paraId="5EA730DA" w14:textId="77777777" w:rsidR="00692509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 xml:space="preserve">Федеральный закон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// "Собрание законодательства РФ". – .2016. – N 26 (Часть I). – Ст. 3889. </w:t>
      </w:r>
    </w:p>
    <w:p w14:paraId="172B70ED" w14:textId="77777777" w:rsidR="00C80C3F" w:rsidRDefault="00692509" w:rsidP="00C80C3F">
      <w:pPr>
        <w:pStyle w:val="a"/>
        <w:numPr>
          <w:ilvl w:val="1"/>
          <w:numId w:val="12"/>
        </w:numPr>
        <w:ind w:left="567" w:firstLine="567"/>
        <w:jc w:val="both"/>
      </w:pPr>
      <w:r>
        <w:t>Федеральный закон от 27.07.2006 N 149-ФЗ (ред. от 25.11.2017) "Об информации, информационных технологиях и о защите информации" // "Собрание законодательства РФ". – .2006. – N 31 (1 ч.). –Ст. 3448.</w:t>
      </w:r>
      <w:r w:rsidR="00C80C3F">
        <w:t xml:space="preserve"> </w:t>
      </w:r>
    </w:p>
    <w:p w14:paraId="4EB0667F" w14:textId="77777777" w:rsidR="00C80C3F" w:rsidRDefault="00B050F7" w:rsidP="00C80C3F">
      <w:pPr>
        <w:pStyle w:val="a"/>
        <w:numPr>
          <w:ilvl w:val="0"/>
          <w:numId w:val="12"/>
        </w:numPr>
        <w:jc w:val="both"/>
      </w:pPr>
      <w:r>
        <w:t xml:space="preserve">Научная и </w:t>
      </w:r>
      <w:r w:rsidR="00E7048F">
        <w:t>учебная</w:t>
      </w:r>
      <w:r>
        <w:t xml:space="preserve"> литература</w:t>
      </w:r>
      <w:r w:rsidR="00C80C3F">
        <w:t xml:space="preserve"> </w:t>
      </w:r>
    </w:p>
    <w:p w14:paraId="61FA03FB" w14:textId="77777777" w:rsidR="00A51B6F" w:rsidRDefault="00C80C3F" w:rsidP="00A51B6F">
      <w:pPr>
        <w:pStyle w:val="a"/>
        <w:numPr>
          <w:ilvl w:val="1"/>
          <w:numId w:val="12"/>
        </w:numPr>
        <w:ind w:left="567" w:firstLine="567"/>
      </w:pPr>
      <w:r>
        <w:t xml:space="preserve">Абрамова Е.Н. К вопросу о понятии формы сделки // «Нотариус». – 2015. – N 6. – С. 7. </w:t>
      </w:r>
    </w:p>
    <w:p w14:paraId="5AAC85A3" w14:textId="49F548E3" w:rsidR="00D770DE" w:rsidRPr="00A4208C" w:rsidRDefault="00A4208C" w:rsidP="00A51B6F">
      <w:pPr>
        <w:pStyle w:val="a"/>
        <w:numPr>
          <w:ilvl w:val="1"/>
          <w:numId w:val="12"/>
        </w:numPr>
        <w:ind w:left="567" w:firstLine="567"/>
      </w:pPr>
      <w:r w:rsidRPr="00A4208C">
        <w:t xml:space="preserve">Булгакова Е.В. Электронное правосудие // Российский судья. 2013. № 7.С. 14 – 17. </w:t>
      </w:r>
    </w:p>
    <w:p w14:paraId="6A13A2C4" w14:textId="77777777" w:rsidR="00C80C3F" w:rsidRDefault="00C80C3F" w:rsidP="00C80C3F">
      <w:pPr>
        <w:pStyle w:val="a"/>
        <w:numPr>
          <w:ilvl w:val="1"/>
          <w:numId w:val="12"/>
        </w:numPr>
        <w:ind w:left="567" w:firstLine="567"/>
      </w:pPr>
      <w:r>
        <w:t xml:space="preserve">Государственная статистика [Электронный ресурс] // URL: http://www.gks.ru/wps/wcm/connect/rosstat_main/rosstat/ru/statistics/population/demography/# (дата обращения: 24.12.2017) </w:t>
      </w:r>
    </w:p>
    <w:p w14:paraId="0E581C43" w14:textId="77777777" w:rsidR="00C80C3F" w:rsidRDefault="00C80C3F" w:rsidP="00C80C3F">
      <w:pPr>
        <w:pStyle w:val="a"/>
        <w:numPr>
          <w:ilvl w:val="1"/>
          <w:numId w:val="12"/>
        </w:numPr>
        <w:ind w:left="567" w:firstLine="567"/>
      </w:pPr>
      <w:r>
        <w:t xml:space="preserve">Постатейный комментарий к Гражданскому процессуальному кодексу Российской Федерации / под ред. П.В. Крашенинникова. - Москва: Статут, 2012. – С. 195 [Электронный ресурс] // URL: http://biblioclub.ru/index.php?page=book&amp;id=450265 (04.12.2017). </w:t>
      </w:r>
    </w:p>
    <w:p w14:paraId="6540EEC2" w14:textId="77777777" w:rsidR="00C80C3F" w:rsidRDefault="00C80C3F" w:rsidP="00C80C3F">
      <w:pPr>
        <w:pStyle w:val="a"/>
        <w:numPr>
          <w:ilvl w:val="1"/>
          <w:numId w:val="12"/>
        </w:numPr>
        <w:ind w:left="567" w:firstLine="567"/>
      </w:pPr>
      <w:r>
        <w:t xml:space="preserve">Рыжаков А.П. Комментарий к Гражданскому процессуальному кодексу Российской Федерации [Электронный ресурс] // URL: </w:t>
      </w:r>
      <w:r>
        <w:lastRenderedPageBreak/>
        <w:t xml:space="preserve">http://kommentarii.org/kom_gragd_kodex/page146.html (дата обращения: 23.12.2017) </w:t>
      </w:r>
    </w:p>
    <w:p w14:paraId="07148011" w14:textId="77777777" w:rsidR="00C80C3F" w:rsidRDefault="00C80C3F" w:rsidP="00C80C3F">
      <w:pPr>
        <w:pStyle w:val="a"/>
        <w:numPr>
          <w:ilvl w:val="1"/>
          <w:numId w:val="12"/>
        </w:numPr>
        <w:ind w:left="567" w:firstLine="567"/>
        <w:jc w:val="both"/>
      </w:pPr>
      <w:proofErr w:type="spellStart"/>
      <w:r>
        <w:t>Шакарян</w:t>
      </w:r>
      <w:proofErr w:type="spellEnd"/>
      <w:r>
        <w:t xml:space="preserve"> М.С. Проблемы доступности и эффективности правосудия в судах общей юрисдикции // Проблемы доступности и эффективности правосудия в арбитражном и гражданском судопроизводстве. М., 2001. С. 61</w:t>
      </w:r>
    </w:p>
    <w:sectPr w:rsidR="00C80C3F" w:rsidSect="00BA6E4C"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401E" w14:textId="77777777" w:rsidR="00007639" w:rsidRDefault="00007639" w:rsidP="009E5BA4">
      <w:pPr>
        <w:spacing w:after="0" w:line="240" w:lineRule="auto"/>
      </w:pPr>
      <w:r>
        <w:separator/>
      </w:r>
    </w:p>
  </w:endnote>
  <w:endnote w:type="continuationSeparator" w:id="0">
    <w:p w14:paraId="77327A72" w14:textId="77777777" w:rsidR="00007639" w:rsidRDefault="00007639" w:rsidP="009E5BA4">
      <w:pPr>
        <w:spacing w:after="0" w:line="240" w:lineRule="auto"/>
      </w:pPr>
      <w:r>
        <w:continuationSeparator/>
      </w:r>
    </w:p>
  </w:endnote>
  <w:endnote w:type="continuationNotice" w:id="1">
    <w:p w14:paraId="4BFDF47E" w14:textId="77777777" w:rsidR="00007639" w:rsidRDefault="00007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476897"/>
      <w:docPartObj>
        <w:docPartGallery w:val="Page Numbers (Bottom of Page)"/>
        <w:docPartUnique/>
      </w:docPartObj>
    </w:sdtPr>
    <w:sdtEndPr/>
    <w:sdtContent>
      <w:p w14:paraId="5DFB8656" w14:textId="2F067B37" w:rsidR="00361E63" w:rsidRDefault="00361E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357">
          <w:rPr>
            <w:noProof/>
          </w:rPr>
          <w:t>20</w:t>
        </w:r>
        <w:r>
          <w:fldChar w:fldCharType="end"/>
        </w:r>
      </w:p>
    </w:sdtContent>
  </w:sdt>
  <w:p w14:paraId="157F830F" w14:textId="77777777" w:rsidR="00361E63" w:rsidRDefault="00361E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86DB" w14:textId="69FA02D6" w:rsidR="00361E63" w:rsidRPr="00D44357" w:rsidRDefault="00D44357" w:rsidP="00D44357">
    <w:pPr>
      <w:pStyle w:val="a6"/>
      <w:jc w:val="center"/>
    </w:pPr>
    <w:r>
      <w:t>Тверь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350089"/>
      <w:docPartObj>
        <w:docPartGallery w:val="Page Numbers (Bottom of Page)"/>
        <w:docPartUnique/>
      </w:docPartObj>
    </w:sdtPr>
    <w:sdtContent>
      <w:p w14:paraId="5EE9149E" w14:textId="107A8E64" w:rsidR="00D44357" w:rsidRDefault="00D443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0C151C" w14:textId="0C319F43" w:rsidR="00D44357" w:rsidRPr="00D44357" w:rsidRDefault="00D44357" w:rsidP="00D4435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956591"/>
      <w:docPartObj>
        <w:docPartGallery w:val="Page Numbers (Bottom of Page)"/>
        <w:docPartUnique/>
      </w:docPartObj>
    </w:sdtPr>
    <w:sdtContent>
      <w:p w14:paraId="1E7CC0ED" w14:textId="2BA7B6D7" w:rsidR="00D44357" w:rsidRDefault="00D443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9B9971" w14:textId="54AA0130" w:rsidR="00D44357" w:rsidRPr="00D44357" w:rsidRDefault="00D44357" w:rsidP="00D443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BCBE0" w14:textId="77777777" w:rsidR="00007639" w:rsidRDefault="00007639" w:rsidP="009E5BA4">
      <w:pPr>
        <w:spacing w:after="0" w:line="240" w:lineRule="auto"/>
      </w:pPr>
      <w:r>
        <w:separator/>
      </w:r>
    </w:p>
  </w:footnote>
  <w:footnote w:type="continuationSeparator" w:id="0">
    <w:p w14:paraId="0BA075DE" w14:textId="77777777" w:rsidR="00007639" w:rsidRDefault="00007639" w:rsidP="009E5BA4">
      <w:pPr>
        <w:spacing w:after="0" w:line="240" w:lineRule="auto"/>
      </w:pPr>
      <w:r>
        <w:continuationSeparator/>
      </w:r>
    </w:p>
  </w:footnote>
  <w:footnote w:type="continuationNotice" w:id="1">
    <w:p w14:paraId="30534DE7" w14:textId="77777777" w:rsidR="00007639" w:rsidRDefault="00007639">
      <w:pPr>
        <w:spacing w:after="0" w:line="240" w:lineRule="auto"/>
      </w:pPr>
    </w:p>
  </w:footnote>
  <w:footnote w:id="2">
    <w:p w14:paraId="7E50DB2C" w14:textId="77777777" w:rsidR="00A80A8D" w:rsidRDefault="00A80A8D" w:rsidP="00463B19">
      <w:pPr>
        <w:pStyle w:val="a8"/>
      </w:pPr>
      <w:r>
        <w:rPr>
          <w:rStyle w:val="aa"/>
        </w:rPr>
        <w:footnoteRef/>
      </w:r>
      <w:r>
        <w:t xml:space="preserve"> Постановление Правительства РФ «О федеральной целевой программе»</w:t>
      </w:r>
    </w:p>
  </w:footnote>
  <w:footnote w:id="3">
    <w:p w14:paraId="7EF52D54" w14:textId="77777777" w:rsidR="00A80A8D" w:rsidRDefault="00A80A8D" w:rsidP="00463B19">
      <w:pPr>
        <w:pStyle w:val="a8"/>
      </w:pPr>
      <w:r>
        <w:rPr>
          <w:rStyle w:val="aa"/>
        </w:rPr>
        <w:footnoteRef/>
      </w:r>
      <w:r>
        <w:t xml:space="preserve"> Закон РФ о поправке к Конституции РФ от 05.02.2014 N 2-ФКЗ "О Верховном Суде Российской Федерации и прокуратуре Российской Федерации"</w:t>
      </w:r>
    </w:p>
  </w:footnote>
  <w:footnote w:id="4">
    <w:p w14:paraId="1ED8F1F8" w14:textId="77777777" w:rsidR="00A80A8D" w:rsidRDefault="00A80A8D" w:rsidP="006E2154">
      <w:pPr>
        <w:pStyle w:val="a8"/>
      </w:pPr>
      <w:r>
        <w:rPr>
          <w:rStyle w:val="aa"/>
        </w:rPr>
        <w:footnoteRef/>
      </w:r>
      <w: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</w:footnote>
  <w:footnote w:id="5">
    <w:p w14:paraId="03C773B7" w14:textId="77777777" w:rsidR="00A80A8D" w:rsidRDefault="00A80A8D">
      <w:pPr>
        <w:pStyle w:val="a8"/>
      </w:pPr>
      <w:r>
        <w:rPr>
          <w:rStyle w:val="aa"/>
        </w:rPr>
        <w:footnoteRef/>
      </w:r>
      <w:r>
        <w:t xml:space="preserve"> Булгакова Е.В. Электронное правосудие // Российский судья. 2013. № 7.С. 14 – 17. </w:t>
      </w:r>
    </w:p>
  </w:footnote>
  <w:footnote w:id="6">
    <w:p w14:paraId="15AEE4F0" w14:textId="77777777" w:rsidR="00A80A8D" w:rsidRDefault="00A80A8D">
      <w:pPr>
        <w:pStyle w:val="a8"/>
      </w:pPr>
      <w:r>
        <w:rPr>
          <w:rStyle w:val="aa"/>
        </w:rPr>
        <w:footnoteRef/>
      </w:r>
      <w:r>
        <w:t xml:space="preserve"> Диссертация</w:t>
      </w:r>
    </w:p>
  </w:footnote>
  <w:footnote w:id="7">
    <w:p w14:paraId="71917A2A" w14:textId="77777777" w:rsidR="00A80A8D" w:rsidRDefault="00A80A8D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513AB1">
        <w:t>Шакарян</w:t>
      </w:r>
      <w:proofErr w:type="spellEnd"/>
      <w:r w:rsidRPr="00513AB1">
        <w:t xml:space="preserve"> М. С. Проблемы доступности и эффективности правосудия в судах общей юрисдикции // Проблемы доступности и эффективности правосудия в арбитражном и гражданском судопроизводстве. М., 2001. С. 61</w:t>
      </w:r>
    </w:p>
  </w:footnote>
  <w:footnote w:id="8">
    <w:p w14:paraId="7808D291" w14:textId="014E8A27" w:rsidR="00361E63" w:rsidRDefault="00361E63" w:rsidP="009E2FB0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4327E3">
        <w:t>Шакарян</w:t>
      </w:r>
      <w:proofErr w:type="spellEnd"/>
      <w:r w:rsidRPr="004327E3">
        <w:t xml:space="preserve"> М.С. Проблемы доступности и эффективности правосудия в судах общей юрисдикции // Проблемы доступности и эффективности правосудия в арбитражном и гражданском судопроизводстве. М., 2001. С.</w:t>
      </w:r>
      <w:r>
        <w:t> </w:t>
      </w:r>
      <w:r w:rsidRPr="004327E3">
        <w:t>61</w:t>
      </w:r>
    </w:p>
  </w:footnote>
  <w:footnote w:id="9">
    <w:p w14:paraId="340392CA" w14:textId="4465794A" w:rsidR="00361E63" w:rsidRDefault="00361E63" w:rsidP="00576A46">
      <w:pPr>
        <w:pStyle w:val="a8"/>
      </w:pPr>
      <w:r>
        <w:rPr>
          <w:rStyle w:val="aa"/>
        </w:rPr>
        <w:footnoteRef/>
      </w:r>
      <w:r>
        <w:t xml:space="preserve"> Государственная статистика </w:t>
      </w:r>
      <w:r w:rsidRPr="00D022A8">
        <w:t>[</w:t>
      </w:r>
      <w:r>
        <w:t>Электронный ресурс</w:t>
      </w:r>
      <w:r w:rsidRPr="00D022A8">
        <w:t>]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hyperlink r:id="rId1" w:history="1">
        <w:r w:rsidRPr="004525E9">
          <w:rPr>
            <w:rStyle w:val="ab"/>
          </w:rPr>
          <w:t>http://www.gks.ru/wps/wcm/connect/rosstat_main/rosstat/ru/statistics/population/demography/#</w:t>
        </w:r>
      </w:hyperlink>
      <w:r>
        <w:t xml:space="preserve"> (дата обращения: 24.12.2017) </w:t>
      </w:r>
    </w:p>
  </w:footnote>
  <w:footnote w:id="10">
    <w:p w14:paraId="08231AD7" w14:textId="0FD02BAD" w:rsidR="00361E63" w:rsidRPr="003735E8" w:rsidRDefault="00361E63" w:rsidP="00576A46">
      <w:pPr>
        <w:pStyle w:val="a8"/>
      </w:pPr>
      <w:r>
        <w:rPr>
          <w:rStyle w:val="aa"/>
        </w:rPr>
        <w:footnoteRef/>
      </w:r>
      <w:r>
        <w:t xml:space="preserve"> </w:t>
      </w:r>
      <w:r w:rsidRPr="001B4C33">
        <w:t>Концепция развития информатизации судов до 2020 года (утв. постановлением Президиума Совета судей РФ от 19 февраля 2015 г. N 439</w:t>
      </w:r>
      <w:r>
        <w:t xml:space="preserve">) </w:t>
      </w:r>
      <w:r w:rsidRPr="003735E8">
        <w:t>[</w:t>
      </w:r>
      <w:r>
        <w:t>Электронный ресурс</w:t>
      </w:r>
      <w:r w:rsidRPr="003735E8">
        <w:t xml:space="preserve">] </w:t>
      </w:r>
      <w:r>
        <w:t xml:space="preserve">// </w:t>
      </w:r>
      <w:r>
        <w:rPr>
          <w:lang w:val="en-US"/>
        </w:rPr>
        <w:t>URL</w:t>
      </w:r>
      <w:r>
        <w:t xml:space="preserve">: </w:t>
      </w:r>
      <w:hyperlink r:id="rId2" w:history="1">
        <w:r w:rsidRPr="004525E9">
          <w:rPr>
            <w:rStyle w:val="ab"/>
          </w:rPr>
          <w:t>http://base.garant.ru/71062432/</w:t>
        </w:r>
      </w:hyperlink>
      <w:r>
        <w:t xml:space="preserve"> (дата обращения: 24.12.2017). </w:t>
      </w:r>
    </w:p>
  </w:footnote>
  <w:footnote w:id="11">
    <w:p w14:paraId="45C95A36" w14:textId="258A0F14" w:rsidR="00361E63" w:rsidRDefault="00361E63" w:rsidP="00576A46">
      <w:pPr>
        <w:pStyle w:val="a8"/>
      </w:pPr>
      <w:r>
        <w:rPr>
          <w:rStyle w:val="aa"/>
        </w:rPr>
        <w:footnoteRef/>
      </w:r>
      <w:r>
        <w:t xml:space="preserve"> </w:t>
      </w:r>
      <w:r w:rsidRPr="002624BB">
        <w:t>Приказ Судебного департамента при Верховном суде РФ от 27.12.2016 N 251"Об утверждении Порядка подачи в федеральные суды общей юрисдикции документов в электронном виде, в том числе в форме электронного документа"</w:t>
      </w:r>
      <w:r>
        <w:t xml:space="preserve"> </w:t>
      </w:r>
      <w:r w:rsidRPr="00D022A8">
        <w:t>[</w:t>
      </w:r>
      <w:r>
        <w:t>Электронный ресурс</w:t>
      </w:r>
      <w:r w:rsidRPr="00D022A8">
        <w:t>]</w:t>
      </w:r>
      <w:r>
        <w:t xml:space="preserve"> // </w:t>
      </w:r>
      <w:r>
        <w:rPr>
          <w:lang w:val="en-US"/>
        </w:rPr>
        <w:t>URL</w:t>
      </w:r>
      <w:r>
        <w:t xml:space="preserve"> </w:t>
      </w:r>
      <w:hyperlink r:id="rId3" w:history="1">
        <w:r w:rsidRPr="004525E9">
          <w:rPr>
            <w:rStyle w:val="ab"/>
          </w:rPr>
          <w:t>http://www.garant.ru/products/ipo/prime/doc/71477352/</w:t>
        </w:r>
      </w:hyperlink>
      <w:r>
        <w:t xml:space="preserve"> (дата обращения: 24.12.2017).</w:t>
      </w:r>
    </w:p>
  </w:footnote>
  <w:footnote w:id="12">
    <w:p w14:paraId="5896949F" w14:textId="550CEF3C" w:rsidR="00361E63" w:rsidRDefault="00361E63" w:rsidP="00D672BD">
      <w:pPr>
        <w:pStyle w:val="a8"/>
      </w:pPr>
      <w:r>
        <w:rPr>
          <w:rStyle w:val="aa"/>
        </w:rPr>
        <w:footnoteRef/>
      </w:r>
      <w:r>
        <w:t xml:space="preserve"> Статья 2 Федерального закона от 27.07.2006 N 149-ФЗ (ред. от 25.11.2017) "Об информации, информационных технологиях и о защите информации" // </w:t>
      </w:r>
      <w:r w:rsidRPr="00D672BD">
        <w:t>"Собрание законодательства РФ"</w:t>
      </w:r>
      <w:r>
        <w:t xml:space="preserve">. – </w:t>
      </w:r>
      <w:r w:rsidRPr="00D672BD">
        <w:t>.2006</w:t>
      </w:r>
      <w:r>
        <w:t>. –</w:t>
      </w:r>
      <w:r w:rsidRPr="00D672BD">
        <w:t xml:space="preserve"> N 31 (1 ч.)</w:t>
      </w:r>
      <w:r>
        <w:t>. –С</w:t>
      </w:r>
      <w:r w:rsidRPr="00D672BD">
        <w:t>т.</w:t>
      </w:r>
      <w:r>
        <w:t> </w:t>
      </w:r>
      <w:r w:rsidRPr="00D672BD">
        <w:t>3448</w:t>
      </w:r>
      <w:r>
        <w:t>.</w:t>
      </w:r>
    </w:p>
  </w:footnote>
  <w:footnote w:id="13">
    <w:p w14:paraId="280798EF" w14:textId="0D3B1F47" w:rsidR="008F4240" w:rsidRDefault="008F4240">
      <w:pPr>
        <w:pStyle w:val="a8"/>
      </w:pPr>
      <w:r>
        <w:rPr>
          <w:rStyle w:val="aa"/>
        </w:rPr>
        <w:footnoteRef/>
      </w:r>
      <w:r>
        <w:t xml:space="preserve"> </w:t>
      </w:r>
      <w:r w:rsidRPr="002624BB">
        <w:t>Приказ Судебного департамента при Верховном суде РФ от 27.12.2016 N 251</w:t>
      </w:r>
      <w:r>
        <w:t xml:space="preserve">. </w:t>
      </w:r>
    </w:p>
  </w:footnote>
  <w:footnote w:id="14">
    <w:p w14:paraId="7A254E65" w14:textId="1D0DB1D0" w:rsidR="00361E63" w:rsidRDefault="00361E63" w:rsidP="00D672BD">
      <w:pPr>
        <w:pStyle w:val="a8"/>
      </w:pPr>
      <w:r>
        <w:rPr>
          <w:rStyle w:val="aa"/>
        </w:rPr>
        <w:footnoteRef/>
      </w:r>
      <w:r>
        <w:t xml:space="preserve"> Федеральный закон от 06.04.2011 N 63-ФЗ (ред. от 23.06.2016) "Об электронной подписи"// </w:t>
      </w:r>
      <w:r w:rsidRPr="00D672BD">
        <w:t>"Собрание законодательства РФ"</w:t>
      </w:r>
      <w:r>
        <w:t xml:space="preserve">.  –  </w:t>
      </w:r>
      <w:r w:rsidRPr="00D672BD">
        <w:t>2011</w:t>
      </w:r>
      <w:r>
        <w:t xml:space="preserve">. – </w:t>
      </w:r>
      <w:r w:rsidRPr="00D672BD">
        <w:t xml:space="preserve"> N 15</w:t>
      </w:r>
      <w:r>
        <w:t xml:space="preserve">. – </w:t>
      </w:r>
      <w:r w:rsidRPr="00D672BD">
        <w:t xml:space="preserve"> </w:t>
      </w:r>
      <w:r>
        <w:t>С</w:t>
      </w:r>
      <w:r w:rsidRPr="00D672BD">
        <w:t>т.</w:t>
      </w:r>
      <w:r>
        <w:t> </w:t>
      </w:r>
      <w:r w:rsidRPr="00D672BD">
        <w:t>2036.</w:t>
      </w:r>
    </w:p>
  </w:footnote>
  <w:footnote w:id="15">
    <w:p w14:paraId="212321A4" w14:textId="41218E15" w:rsidR="00361E63" w:rsidRDefault="00361E63" w:rsidP="003D1C99">
      <w:pPr>
        <w:pStyle w:val="a8"/>
      </w:pPr>
      <w:r>
        <w:rPr>
          <w:rStyle w:val="aa"/>
        </w:rPr>
        <w:footnoteRef/>
      </w:r>
      <w:r>
        <w:t xml:space="preserve"> "Гражданский процессуальный кодекс Российской Федерации" от 14.11.2002 N 138-ФЗ (ред. от 30.10.2017) // </w:t>
      </w:r>
      <w:r w:rsidRPr="003D1C99">
        <w:t>"Собрание законодательства РФ"</w:t>
      </w:r>
      <w:r>
        <w:t xml:space="preserve">. – </w:t>
      </w:r>
      <w:r w:rsidRPr="003D1C99">
        <w:t>.2002</w:t>
      </w:r>
      <w:r>
        <w:t xml:space="preserve">. – </w:t>
      </w:r>
      <w:r w:rsidRPr="003D1C99">
        <w:t xml:space="preserve"> N 46</w:t>
      </w:r>
      <w:r>
        <w:t>. –</w:t>
      </w:r>
      <w:r w:rsidRPr="003D1C99">
        <w:t xml:space="preserve"> </w:t>
      </w:r>
      <w:r>
        <w:t>С</w:t>
      </w:r>
      <w:r w:rsidRPr="003D1C99">
        <w:t>т.</w:t>
      </w:r>
      <w:r>
        <w:t> </w:t>
      </w:r>
      <w:r w:rsidRPr="003D1C99">
        <w:t>4532</w:t>
      </w:r>
      <w:r>
        <w:t xml:space="preserve">. </w:t>
      </w:r>
    </w:p>
  </w:footnote>
  <w:footnote w:id="16">
    <w:p w14:paraId="5BCE5523" w14:textId="0704ED3A" w:rsidR="00361E63" w:rsidRDefault="00361E63" w:rsidP="003D1C99">
      <w:pPr>
        <w:pStyle w:val="a8"/>
      </w:pPr>
      <w:r>
        <w:rPr>
          <w:rStyle w:val="aa"/>
        </w:rPr>
        <w:footnoteRef/>
      </w:r>
      <w:r>
        <w:t xml:space="preserve"> </w:t>
      </w:r>
      <w:r w:rsidRPr="00907634">
        <w:t>Федеральный закон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</w:t>
      </w:r>
      <w:r>
        <w:t xml:space="preserve"> // </w:t>
      </w:r>
      <w:r w:rsidRPr="003D1C99">
        <w:t>"Собрание законодательства РФ"</w:t>
      </w:r>
      <w:r>
        <w:t xml:space="preserve">. – </w:t>
      </w:r>
      <w:r w:rsidRPr="003D1C99">
        <w:t>.2016</w:t>
      </w:r>
      <w:r>
        <w:t>. –</w:t>
      </w:r>
      <w:r w:rsidRPr="003D1C99">
        <w:t xml:space="preserve"> N 26 (Часть I)</w:t>
      </w:r>
      <w:r>
        <w:t>.</w:t>
      </w:r>
      <w:r w:rsidRPr="003D1C99">
        <w:t xml:space="preserve"> </w:t>
      </w:r>
      <w:r>
        <w:t>–</w:t>
      </w:r>
      <w:r w:rsidRPr="003D1C99">
        <w:t xml:space="preserve"> </w:t>
      </w:r>
      <w:r>
        <w:t>С</w:t>
      </w:r>
      <w:r w:rsidRPr="003D1C99">
        <w:t>т.</w:t>
      </w:r>
      <w:r>
        <w:t> </w:t>
      </w:r>
      <w:r w:rsidRPr="003D1C99">
        <w:t>3889</w:t>
      </w:r>
      <w:r>
        <w:t xml:space="preserve">. </w:t>
      </w:r>
    </w:p>
  </w:footnote>
  <w:footnote w:id="17">
    <w:p w14:paraId="4EDCE292" w14:textId="1A3EF37B" w:rsidR="00361E63" w:rsidRDefault="00361E63" w:rsidP="003D1C99">
      <w:pPr>
        <w:pStyle w:val="a8"/>
      </w:pPr>
      <w:r>
        <w:rPr>
          <w:rStyle w:val="aa"/>
        </w:rPr>
        <w:footnoteRef/>
      </w:r>
      <w:r>
        <w:t xml:space="preserve"> "Арбитражный процессуальный кодекс Российской Федерации" от 24.07.2002 N 95-ФЗ (ред. от 29.07.2017) // </w:t>
      </w:r>
      <w:r w:rsidRPr="0069788E">
        <w:t>"Парламентская газета"</w:t>
      </w:r>
      <w:r>
        <w:t xml:space="preserve">. –  </w:t>
      </w:r>
      <w:r w:rsidRPr="0069788E">
        <w:t>2002</w:t>
      </w:r>
      <w:r>
        <w:t xml:space="preserve">. – </w:t>
      </w:r>
      <w:r w:rsidRPr="0069788E">
        <w:t>N 140-141</w:t>
      </w:r>
      <w:r>
        <w:t xml:space="preserve">. </w:t>
      </w:r>
    </w:p>
  </w:footnote>
  <w:footnote w:id="18">
    <w:p w14:paraId="1D45BE9E" w14:textId="7A38A1A7" w:rsidR="00361E63" w:rsidRPr="003D1C99" w:rsidRDefault="00361E63" w:rsidP="00541146">
      <w:pPr>
        <w:pStyle w:val="a8"/>
      </w:pPr>
      <w:r>
        <w:rPr>
          <w:rStyle w:val="aa"/>
        </w:rPr>
        <w:footnoteRef/>
      </w:r>
      <w:r>
        <w:t xml:space="preserve"> Рыжаков А.П. Комментарий к Гражданскому процессуальному кодексу Российской Федерации </w:t>
      </w:r>
      <w:r w:rsidRPr="003D1C99">
        <w:t>[</w:t>
      </w:r>
      <w:r>
        <w:t>Электронный ресурс</w:t>
      </w:r>
      <w:r w:rsidRPr="003D1C99">
        <w:t>]</w:t>
      </w:r>
      <w:r>
        <w:t xml:space="preserve"> // </w:t>
      </w:r>
      <w:r>
        <w:rPr>
          <w:lang w:val="en-US"/>
        </w:rPr>
        <w:t>URL</w:t>
      </w:r>
      <w:r>
        <w:t xml:space="preserve">: </w:t>
      </w:r>
      <w:hyperlink r:id="rId4" w:history="1">
        <w:r w:rsidRPr="004525E9">
          <w:rPr>
            <w:rStyle w:val="ab"/>
          </w:rPr>
          <w:t>http://kommentarii.org/kom_gragd_kodex/page146.html</w:t>
        </w:r>
      </w:hyperlink>
      <w:r>
        <w:t xml:space="preserve"> (дата обращения: 23.12.2017) </w:t>
      </w:r>
      <w:r w:rsidRPr="00691818">
        <w:t xml:space="preserve">Постатейный комментарий к Гражданскому процессуальному кодексу Российской Федерации / под ред. П.В. Крашенинникова. - </w:t>
      </w:r>
      <w:proofErr w:type="gramStart"/>
      <w:r w:rsidRPr="00691818">
        <w:t>Москва:Статут</w:t>
      </w:r>
      <w:proofErr w:type="gramEnd"/>
      <w:r w:rsidRPr="00691818">
        <w:t xml:space="preserve">, 2012. </w:t>
      </w:r>
      <w:r>
        <w:t>–</w:t>
      </w:r>
      <w:r w:rsidRPr="00691818">
        <w:t xml:space="preserve"> </w:t>
      </w:r>
      <w:r>
        <w:t>С</w:t>
      </w:r>
      <w:r w:rsidRPr="00691818">
        <w:t>.</w:t>
      </w:r>
      <w:r>
        <w:t xml:space="preserve"> 195 </w:t>
      </w:r>
      <w:r w:rsidRPr="00691818">
        <w:t>[Электронный ресурс]</w:t>
      </w:r>
      <w:r>
        <w:t xml:space="preserve"> // </w:t>
      </w:r>
      <w:r>
        <w:rPr>
          <w:lang w:val="en-US"/>
        </w:rPr>
        <w:t>U</w:t>
      </w:r>
      <w:r w:rsidRPr="00691818">
        <w:t>RL: http://biblioclub.ru/index.php?page=book&amp;id=450265 (04.12.2017).</w:t>
      </w:r>
      <w:r w:rsidRPr="003D1C99">
        <w:t xml:space="preserve"> </w:t>
      </w:r>
    </w:p>
  </w:footnote>
  <w:footnote w:id="19">
    <w:p w14:paraId="62E38661" w14:textId="52107274" w:rsidR="00361E63" w:rsidRDefault="00361E63">
      <w:pPr>
        <w:pStyle w:val="a8"/>
      </w:pPr>
      <w:r>
        <w:rPr>
          <w:rStyle w:val="aa"/>
        </w:rPr>
        <w:footnoteRef/>
      </w:r>
      <w:r>
        <w:t xml:space="preserve"> Часть 1 статьи 71 ГПК РФ. </w:t>
      </w:r>
    </w:p>
  </w:footnote>
  <w:footnote w:id="20">
    <w:p w14:paraId="75E0EE1A" w14:textId="1F8BC640" w:rsidR="00361E63" w:rsidRPr="00C7487C" w:rsidRDefault="00361E63" w:rsidP="001D7BDF">
      <w:pPr>
        <w:pStyle w:val="a8"/>
      </w:pPr>
      <w:r>
        <w:rPr>
          <w:rStyle w:val="aa"/>
        </w:rPr>
        <w:footnoteRef/>
      </w:r>
      <w:r>
        <w:t xml:space="preserve"> Абрамова Е.Н. К вопросу о понятии формы сделки // «Нотариус». – 2015. – N 6. – С. 7. </w:t>
      </w:r>
    </w:p>
  </w:footnote>
  <w:footnote w:id="21">
    <w:p w14:paraId="511B5042" w14:textId="418B7DC1" w:rsidR="00361E63" w:rsidRDefault="00361E63" w:rsidP="00206D5A">
      <w:pPr>
        <w:pStyle w:val="a8"/>
      </w:pPr>
      <w:r>
        <w:rPr>
          <w:rStyle w:val="aa"/>
        </w:rPr>
        <w:footnoteRef/>
      </w:r>
      <w:r>
        <w:t xml:space="preserve"> </w:t>
      </w:r>
      <w:r w:rsidRPr="00A90387">
        <w:t xml:space="preserve">"Гражданский кодекс Российской Федерации (часть </w:t>
      </w:r>
      <w:r>
        <w:t>первая</w:t>
      </w:r>
      <w:r w:rsidRPr="00A90387">
        <w:t>)" от 18.12.2006 N 230-ФЗ (ред. от 03.07.2016, с изм. от 28.03.2017) (с изм. и доп., вступ. в силу с 01.01.2017) // Собрание законодательства РФ. – 2006. – № 52. – Ст.</w:t>
      </w:r>
      <w:r>
        <w:t> </w:t>
      </w:r>
      <w:r w:rsidRPr="00A90387">
        <w:t>5496.</w:t>
      </w:r>
    </w:p>
  </w:footnote>
  <w:footnote w:id="22">
    <w:p w14:paraId="730DECB0" w14:textId="13B44141" w:rsidR="00361E63" w:rsidRDefault="00361E63">
      <w:pPr>
        <w:pStyle w:val="a8"/>
      </w:pPr>
      <w:r>
        <w:rPr>
          <w:rStyle w:val="aa"/>
        </w:rPr>
        <w:footnoteRef/>
      </w:r>
      <w:r>
        <w:t xml:space="preserve"> </w:t>
      </w:r>
      <w:r w:rsidRPr="009E5BA4">
        <w:t>Федеральный закон от 23.06.2016 N 220-ФЗ</w:t>
      </w:r>
      <w:r>
        <w:t xml:space="preserve">. </w:t>
      </w:r>
    </w:p>
  </w:footnote>
  <w:footnote w:id="23">
    <w:p w14:paraId="5A55FBF8" w14:textId="707CF6FA" w:rsidR="00361E63" w:rsidRDefault="00361E63" w:rsidP="002607FA">
      <w:pPr>
        <w:pStyle w:val="a8"/>
      </w:pPr>
      <w:r>
        <w:rPr>
          <w:rStyle w:val="aa"/>
        </w:rPr>
        <w:footnoteRef/>
      </w:r>
      <w:r>
        <w:t xml:space="preserve"> </w:t>
      </w:r>
      <w:bookmarkStart w:id="4" w:name="_Hlk500247947"/>
      <w:r w:rsidRPr="00A37271">
        <w:t xml:space="preserve">Приказ </w:t>
      </w:r>
      <w:r>
        <w:t xml:space="preserve">Судебного департамента при Верховном суде РФ </w:t>
      </w:r>
      <w:r w:rsidRPr="00A37271">
        <w:t>от 27.12.2016 N 251</w:t>
      </w:r>
      <w:bookmarkEnd w:id="4"/>
      <w:r>
        <w:t xml:space="preserve">. </w:t>
      </w:r>
    </w:p>
  </w:footnote>
  <w:footnote w:id="24">
    <w:p w14:paraId="535BFDF4" w14:textId="5C90399B" w:rsidR="00361E63" w:rsidRDefault="00361E63">
      <w:pPr>
        <w:pStyle w:val="a8"/>
      </w:pPr>
      <w:r>
        <w:rPr>
          <w:rStyle w:val="aa"/>
        </w:rPr>
        <w:footnoteRef/>
      </w:r>
      <w:r>
        <w:t xml:space="preserve"> Там же ФЗ </w:t>
      </w:r>
      <w:r w:rsidRPr="008D596E">
        <w:t>N 149-ФЗ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07007"/>
    <w:multiLevelType w:val="hybridMultilevel"/>
    <w:tmpl w:val="F49ED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C41A0E"/>
    <w:multiLevelType w:val="hybridMultilevel"/>
    <w:tmpl w:val="0CB26510"/>
    <w:lvl w:ilvl="0" w:tplc="A698994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DA3770"/>
    <w:multiLevelType w:val="hybridMultilevel"/>
    <w:tmpl w:val="02D4D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635353"/>
    <w:multiLevelType w:val="hybridMultilevel"/>
    <w:tmpl w:val="7892F08C"/>
    <w:lvl w:ilvl="0" w:tplc="CD68B924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907A31"/>
    <w:multiLevelType w:val="hybridMultilevel"/>
    <w:tmpl w:val="D6D07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52488C"/>
    <w:multiLevelType w:val="hybridMultilevel"/>
    <w:tmpl w:val="7F92A2A2"/>
    <w:lvl w:ilvl="0" w:tplc="A6C8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C6C4E"/>
    <w:multiLevelType w:val="multilevel"/>
    <w:tmpl w:val="BED0DD3C"/>
    <w:lvl w:ilvl="0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78900659"/>
    <w:multiLevelType w:val="hybridMultilevel"/>
    <w:tmpl w:val="C6F2A5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4"/>
    <w:rsid w:val="00007639"/>
    <w:rsid w:val="00027B84"/>
    <w:rsid w:val="00032C35"/>
    <w:rsid w:val="00033761"/>
    <w:rsid w:val="00046754"/>
    <w:rsid w:val="000470C7"/>
    <w:rsid w:val="00056B36"/>
    <w:rsid w:val="00057114"/>
    <w:rsid w:val="000748EC"/>
    <w:rsid w:val="00074D04"/>
    <w:rsid w:val="00091FA7"/>
    <w:rsid w:val="000A116B"/>
    <w:rsid w:val="000A1348"/>
    <w:rsid w:val="000C6CF7"/>
    <w:rsid w:val="000D63A6"/>
    <w:rsid w:val="000E0C32"/>
    <w:rsid w:val="000E1EFF"/>
    <w:rsid w:val="000F272F"/>
    <w:rsid w:val="001261C2"/>
    <w:rsid w:val="0016415C"/>
    <w:rsid w:val="001669CB"/>
    <w:rsid w:val="00180697"/>
    <w:rsid w:val="001B4C33"/>
    <w:rsid w:val="001B6BA1"/>
    <w:rsid w:val="001D7BDF"/>
    <w:rsid w:val="00206D5A"/>
    <w:rsid w:val="00207D14"/>
    <w:rsid w:val="00207EF9"/>
    <w:rsid w:val="00210069"/>
    <w:rsid w:val="00237C03"/>
    <w:rsid w:val="002607FA"/>
    <w:rsid w:val="002624BB"/>
    <w:rsid w:val="00283E8C"/>
    <w:rsid w:val="00285B30"/>
    <w:rsid w:val="00287BBB"/>
    <w:rsid w:val="0029318C"/>
    <w:rsid w:val="002D180B"/>
    <w:rsid w:val="00305AF7"/>
    <w:rsid w:val="003071EA"/>
    <w:rsid w:val="00311362"/>
    <w:rsid w:val="00326C43"/>
    <w:rsid w:val="00344162"/>
    <w:rsid w:val="00356B62"/>
    <w:rsid w:val="00361E63"/>
    <w:rsid w:val="003628CB"/>
    <w:rsid w:val="00362D19"/>
    <w:rsid w:val="00364621"/>
    <w:rsid w:val="003735E8"/>
    <w:rsid w:val="00390D82"/>
    <w:rsid w:val="003943AA"/>
    <w:rsid w:val="003A2DD2"/>
    <w:rsid w:val="003A3EE0"/>
    <w:rsid w:val="003D1C99"/>
    <w:rsid w:val="003D27EB"/>
    <w:rsid w:val="003D71D5"/>
    <w:rsid w:val="003F0C2B"/>
    <w:rsid w:val="003F7C64"/>
    <w:rsid w:val="00411A10"/>
    <w:rsid w:val="004171CE"/>
    <w:rsid w:val="00427B1C"/>
    <w:rsid w:val="004327E3"/>
    <w:rsid w:val="00436327"/>
    <w:rsid w:val="0043698A"/>
    <w:rsid w:val="00436CCB"/>
    <w:rsid w:val="00460417"/>
    <w:rsid w:val="00463B19"/>
    <w:rsid w:val="00476715"/>
    <w:rsid w:val="0047769C"/>
    <w:rsid w:val="004A7EAA"/>
    <w:rsid w:val="004E2F12"/>
    <w:rsid w:val="004F56F0"/>
    <w:rsid w:val="0052593C"/>
    <w:rsid w:val="00541146"/>
    <w:rsid w:val="0054391B"/>
    <w:rsid w:val="00565155"/>
    <w:rsid w:val="00574A60"/>
    <w:rsid w:val="00576A46"/>
    <w:rsid w:val="00577C7C"/>
    <w:rsid w:val="00591600"/>
    <w:rsid w:val="00594348"/>
    <w:rsid w:val="005A4194"/>
    <w:rsid w:val="005B427D"/>
    <w:rsid w:val="005D0407"/>
    <w:rsid w:val="00610BC9"/>
    <w:rsid w:val="00644276"/>
    <w:rsid w:val="006612A6"/>
    <w:rsid w:val="0068627F"/>
    <w:rsid w:val="00691818"/>
    <w:rsid w:val="00692509"/>
    <w:rsid w:val="0069788E"/>
    <w:rsid w:val="006A7F3A"/>
    <w:rsid w:val="006B13D7"/>
    <w:rsid w:val="006B1E3C"/>
    <w:rsid w:val="006C11ED"/>
    <w:rsid w:val="006C22E7"/>
    <w:rsid w:val="006D6119"/>
    <w:rsid w:val="006E2154"/>
    <w:rsid w:val="006E731F"/>
    <w:rsid w:val="006F5CCF"/>
    <w:rsid w:val="006F6F4A"/>
    <w:rsid w:val="00741778"/>
    <w:rsid w:val="00741F27"/>
    <w:rsid w:val="00744E07"/>
    <w:rsid w:val="00752755"/>
    <w:rsid w:val="0075721C"/>
    <w:rsid w:val="00764353"/>
    <w:rsid w:val="0078524B"/>
    <w:rsid w:val="00795B9F"/>
    <w:rsid w:val="007B0983"/>
    <w:rsid w:val="007D6843"/>
    <w:rsid w:val="007E05AE"/>
    <w:rsid w:val="007F4DBD"/>
    <w:rsid w:val="00805FB2"/>
    <w:rsid w:val="0082273B"/>
    <w:rsid w:val="00854C5C"/>
    <w:rsid w:val="00856850"/>
    <w:rsid w:val="0086283F"/>
    <w:rsid w:val="0087449D"/>
    <w:rsid w:val="00883B53"/>
    <w:rsid w:val="008B783F"/>
    <w:rsid w:val="008C59C8"/>
    <w:rsid w:val="008D596E"/>
    <w:rsid w:val="008E287F"/>
    <w:rsid w:val="008F4240"/>
    <w:rsid w:val="00907634"/>
    <w:rsid w:val="00907E1D"/>
    <w:rsid w:val="00925902"/>
    <w:rsid w:val="009346C8"/>
    <w:rsid w:val="00945767"/>
    <w:rsid w:val="00946656"/>
    <w:rsid w:val="00950911"/>
    <w:rsid w:val="00955C1A"/>
    <w:rsid w:val="009577B1"/>
    <w:rsid w:val="009616FA"/>
    <w:rsid w:val="0099410D"/>
    <w:rsid w:val="009B067A"/>
    <w:rsid w:val="009C4C2E"/>
    <w:rsid w:val="009C5373"/>
    <w:rsid w:val="009E1307"/>
    <w:rsid w:val="009E2FB0"/>
    <w:rsid w:val="009E5BA4"/>
    <w:rsid w:val="009F5434"/>
    <w:rsid w:val="009F7870"/>
    <w:rsid w:val="00A02998"/>
    <w:rsid w:val="00A2758F"/>
    <w:rsid w:val="00A346DA"/>
    <w:rsid w:val="00A34E5A"/>
    <w:rsid w:val="00A350B1"/>
    <w:rsid w:val="00A359F4"/>
    <w:rsid w:val="00A35B14"/>
    <w:rsid w:val="00A37271"/>
    <w:rsid w:val="00A40378"/>
    <w:rsid w:val="00A4208C"/>
    <w:rsid w:val="00A51B6F"/>
    <w:rsid w:val="00A53DA8"/>
    <w:rsid w:val="00A752F4"/>
    <w:rsid w:val="00A80A8D"/>
    <w:rsid w:val="00AB26FB"/>
    <w:rsid w:val="00AB5BC3"/>
    <w:rsid w:val="00AC1AC4"/>
    <w:rsid w:val="00B04308"/>
    <w:rsid w:val="00B050F7"/>
    <w:rsid w:val="00B231E4"/>
    <w:rsid w:val="00B44CA4"/>
    <w:rsid w:val="00B627D5"/>
    <w:rsid w:val="00B66284"/>
    <w:rsid w:val="00B82E63"/>
    <w:rsid w:val="00B87A2C"/>
    <w:rsid w:val="00BA6726"/>
    <w:rsid w:val="00BA6E4C"/>
    <w:rsid w:val="00BC2000"/>
    <w:rsid w:val="00BF1EC8"/>
    <w:rsid w:val="00BF6108"/>
    <w:rsid w:val="00C020A5"/>
    <w:rsid w:val="00C04C6A"/>
    <w:rsid w:val="00C20D6A"/>
    <w:rsid w:val="00C21433"/>
    <w:rsid w:val="00C21BA6"/>
    <w:rsid w:val="00C2359E"/>
    <w:rsid w:val="00C3142F"/>
    <w:rsid w:val="00C41039"/>
    <w:rsid w:val="00C41EDD"/>
    <w:rsid w:val="00C7487C"/>
    <w:rsid w:val="00C80C3F"/>
    <w:rsid w:val="00C823B2"/>
    <w:rsid w:val="00C9112B"/>
    <w:rsid w:val="00CA6AB4"/>
    <w:rsid w:val="00CB47F1"/>
    <w:rsid w:val="00CB7215"/>
    <w:rsid w:val="00CC2C5E"/>
    <w:rsid w:val="00D0021C"/>
    <w:rsid w:val="00D022A8"/>
    <w:rsid w:val="00D057E2"/>
    <w:rsid w:val="00D32C73"/>
    <w:rsid w:val="00D44357"/>
    <w:rsid w:val="00D6201B"/>
    <w:rsid w:val="00D672BD"/>
    <w:rsid w:val="00D7299A"/>
    <w:rsid w:val="00D7358E"/>
    <w:rsid w:val="00D770DE"/>
    <w:rsid w:val="00DB7DDE"/>
    <w:rsid w:val="00DD0BF3"/>
    <w:rsid w:val="00DD2137"/>
    <w:rsid w:val="00DE7968"/>
    <w:rsid w:val="00DE7AAC"/>
    <w:rsid w:val="00DE7F84"/>
    <w:rsid w:val="00E13192"/>
    <w:rsid w:val="00E46E41"/>
    <w:rsid w:val="00E50FB9"/>
    <w:rsid w:val="00E7048F"/>
    <w:rsid w:val="00E75EE4"/>
    <w:rsid w:val="00E82DA0"/>
    <w:rsid w:val="00E8467B"/>
    <w:rsid w:val="00EF249D"/>
    <w:rsid w:val="00EF4E2B"/>
    <w:rsid w:val="00F013F1"/>
    <w:rsid w:val="00F01637"/>
    <w:rsid w:val="00F03B16"/>
    <w:rsid w:val="00F1425F"/>
    <w:rsid w:val="00F21924"/>
    <w:rsid w:val="00F36938"/>
    <w:rsid w:val="00F444F9"/>
    <w:rsid w:val="00F4678F"/>
    <w:rsid w:val="00F64239"/>
    <w:rsid w:val="00F71AAA"/>
    <w:rsid w:val="00F8013C"/>
    <w:rsid w:val="00F84F1A"/>
    <w:rsid w:val="00F92B5B"/>
    <w:rsid w:val="00F94630"/>
    <w:rsid w:val="00FB3EBE"/>
    <w:rsid w:val="00FC09AF"/>
    <w:rsid w:val="00FF05BB"/>
    <w:rsid w:val="00FF4F35"/>
    <w:rsid w:val="1B55D5B6"/>
    <w:rsid w:val="706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45D8A"/>
  <w15:chartTrackingRefBased/>
  <w15:docId w15:val="{C792EF17-03D2-496D-86B4-CC075D6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83B53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FF05BB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F05B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41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7A"/>
    <w:pPr>
      <w:numPr>
        <w:numId w:val="10"/>
      </w:numPr>
      <w:contextualSpacing/>
      <w:jc w:val="left"/>
    </w:pPr>
  </w:style>
  <w:style w:type="paragraph" w:styleId="a4">
    <w:name w:val="header"/>
    <w:basedOn w:val="a0"/>
    <w:link w:val="a5"/>
    <w:uiPriority w:val="99"/>
    <w:unhideWhenUsed/>
    <w:rsid w:val="009E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5BA4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9E5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E5BA4"/>
    <w:rPr>
      <w:rFonts w:ascii="Times New Roman" w:hAnsi="Times New Roman"/>
      <w:sz w:val="28"/>
    </w:rPr>
  </w:style>
  <w:style w:type="paragraph" w:styleId="a8">
    <w:name w:val="footnote text"/>
    <w:basedOn w:val="a0"/>
    <w:link w:val="a9"/>
    <w:uiPriority w:val="99"/>
    <w:semiHidden/>
    <w:unhideWhenUsed/>
    <w:rsid w:val="009E5BA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9E5BA4"/>
    <w:rPr>
      <w:rFonts w:ascii="Times New Roman" w:hAnsi="Times New Roman"/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9E5BA4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C41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Hyperlink"/>
    <w:basedOn w:val="a1"/>
    <w:uiPriority w:val="99"/>
    <w:unhideWhenUsed/>
    <w:rsid w:val="001B6B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B6BA1"/>
    <w:rPr>
      <w:color w:val="808080"/>
      <w:shd w:val="clear" w:color="auto" w:fill="E6E6E6"/>
    </w:rPr>
  </w:style>
  <w:style w:type="character" w:customStyle="1" w:styleId="10">
    <w:name w:val="Заголовок 1 Знак"/>
    <w:basedOn w:val="a1"/>
    <w:link w:val="1"/>
    <w:uiPriority w:val="9"/>
    <w:rsid w:val="00FF05B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FF05BB"/>
    <w:rPr>
      <w:rFonts w:ascii="Times New Roman" w:eastAsiaTheme="majorEastAsia" w:hAnsi="Times New Roman" w:cstheme="majorBidi"/>
      <w:sz w:val="28"/>
      <w:szCs w:val="26"/>
    </w:rPr>
  </w:style>
  <w:style w:type="paragraph" w:styleId="ac">
    <w:name w:val="Balloon Text"/>
    <w:basedOn w:val="a0"/>
    <w:link w:val="ad"/>
    <w:uiPriority w:val="99"/>
    <w:semiHidden/>
    <w:unhideWhenUsed/>
    <w:rsid w:val="006F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F6F4A"/>
    <w:rPr>
      <w:rFonts w:ascii="Segoe UI" w:hAnsi="Segoe UI" w:cs="Segoe UI"/>
      <w:sz w:val="18"/>
      <w:szCs w:val="18"/>
    </w:rPr>
  </w:style>
  <w:style w:type="character" w:styleId="ae">
    <w:name w:val="Unresolved Mention"/>
    <w:basedOn w:val="a1"/>
    <w:uiPriority w:val="99"/>
    <w:semiHidden/>
    <w:unhideWhenUsed/>
    <w:rsid w:val="003D1C99"/>
    <w:rPr>
      <w:color w:val="808080"/>
      <w:shd w:val="clear" w:color="auto" w:fill="E6E6E6"/>
    </w:rPr>
  </w:style>
  <w:style w:type="paragraph" w:styleId="af">
    <w:name w:val="endnote text"/>
    <w:basedOn w:val="a0"/>
    <w:link w:val="af0"/>
    <w:uiPriority w:val="99"/>
    <w:semiHidden/>
    <w:unhideWhenUsed/>
    <w:rsid w:val="0086283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86283F"/>
    <w:rPr>
      <w:rFonts w:ascii="Times New Roman" w:hAnsi="Times New Roman"/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86283F"/>
    <w:rPr>
      <w:vertAlign w:val="superscript"/>
    </w:rPr>
  </w:style>
  <w:style w:type="table" w:styleId="af2">
    <w:name w:val="Table Grid"/>
    <w:basedOn w:val="a2"/>
    <w:uiPriority w:val="39"/>
    <w:rsid w:val="00FF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OC Heading"/>
    <w:basedOn w:val="1"/>
    <w:next w:val="a0"/>
    <w:uiPriority w:val="39"/>
    <w:unhideWhenUsed/>
    <w:qFormat/>
    <w:rsid w:val="00C21433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2143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rant.ru/products/ipo/prime/doc/71477352/" TargetMode="External"/><Relationship Id="rId2" Type="http://schemas.openxmlformats.org/officeDocument/2006/relationships/hyperlink" Target="http://base.garant.ru/71062432/" TargetMode="External"/><Relationship Id="rId1" Type="http://schemas.openxmlformats.org/officeDocument/2006/relationships/hyperlink" Target="http://www.gks.ru/wps/wcm/connect/rosstat_main/rosstat/ru/statistics/population/demography/" TargetMode="External"/><Relationship Id="rId4" Type="http://schemas.openxmlformats.org/officeDocument/2006/relationships/hyperlink" Target="http://kommentarii.org/kom_gragd_kodex/page1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32CD-50DF-49C9-B09B-43BF04F4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22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Тихон Геннадьевич</dc:creator>
  <cp:keywords/>
  <dc:description/>
  <cp:lastModifiedBy>Сидоров Тихон Геннадьевич</cp:lastModifiedBy>
  <cp:revision>130</cp:revision>
  <cp:lastPrinted>2017-12-11T21:54:00Z</cp:lastPrinted>
  <dcterms:created xsi:type="dcterms:W3CDTF">2017-11-12T08:43:00Z</dcterms:created>
  <dcterms:modified xsi:type="dcterms:W3CDTF">2017-12-25T01:35:00Z</dcterms:modified>
</cp:coreProperties>
</file>