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0B1" w:rsidRPr="00423625" w:rsidRDefault="000D0379" w:rsidP="00274D4B">
      <w:pPr>
        <w:spacing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236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Политическая асимметрия субъектов РФ</w:t>
      </w:r>
    </w:p>
    <w:p w:rsidR="00274D4B" w:rsidRPr="00423625" w:rsidRDefault="00274D4B" w:rsidP="00274D4B">
      <w:pPr>
        <w:spacing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3625">
        <w:rPr>
          <w:rFonts w:ascii="Times New Roman" w:hAnsi="Times New Roman" w:cs="Times New Roman"/>
          <w:color w:val="000000" w:themeColor="text1"/>
          <w:sz w:val="28"/>
          <w:szCs w:val="28"/>
        </w:rPr>
        <w:t>Исакова Т.А</w:t>
      </w:r>
    </w:p>
    <w:p w:rsidR="00FB5193" w:rsidRPr="00423625" w:rsidRDefault="00EF0E73" w:rsidP="00274D4B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236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proofErr w:type="spellStart"/>
      <w:r w:rsidRPr="004236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Ассимитричный</w:t>
      </w:r>
      <w:proofErr w:type="spellEnd"/>
      <w:r w:rsidRPr="004236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федерализм</w:t>
      </w:r>
      <w:proofErr w:type="gramStart"/>
      <w:r w:rsidRPr="004236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»-</w:t>
      </w:r>
      <w:proofErr w:type="gramEnd"/>
      <w:r w:rsidRPr="004236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термин, которым обозначают федеративные отношения основанные на неравенстве единиц, составляющих федерацию, в политических, административных и иных сферах, и допускающие вариативность во взаимодействие субъектов федерации с центральной властью  </w:t>
      </w:r>
      <w:r w:rsidR="0097622A" w:rsidRPr="004236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</w:t>
      </w:r>
      <w:proofErr w:type="spellStart"/>
      <w:r w:rsidR="0097622A" w:rsidRPr="004236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Щупленков</w:t>
      </w:r>
      <w:proofErr w:type="spellEnd"/>
      <w:r w:rsidR="0097622A" w:rsidRPr="004236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О. В. Проблемы взаимодействия гражданского общества и государства в современной России / О. В. </w:t>
      </w:r>
      <w:proofErr w:type="spellStart"/>
      <w:r w:rsidR="0097622A" w:rsidRPr="004236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Щупленков</w:t>
      </w:r>
      <w:proofErr w:type="spellEnd"/>
      <w:r w:rsidR="0097622A" w:rsidRPr="004236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Н. О. </w:t>
      </w:r>
      <w:proofErr w:type="spellStart"/>
      <w:r w:rsidR="0097622A" w:rsidRPr="004236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Щупленков</w:t>
      </w:r>
      <w:proofErr w:type="spellEnd"/>
      <w:r w:rsidR="0097622A" w:rsidRPr="004236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// NB: </w:t>
      </w:r>
      <w:proofErr w:type="gramStart"/>
      <w:r w:rsidR="0097622A" w:rsidRPr="004236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Вопросы права и политики. — 2013. —№ 4.)</w:t>
      </w:r>
      <w:proofErr w:type="gramEnd"/>
      <w:r w:rsidR="0097622A" w:rsidRPr="004236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чистом виде симметричные государства существуют только в теории, на практике же в любом федеративном государстве встречаются элементы асимметрии.</w:t>
      </w:r>
    </w:p>
    <w:p w:rsidR="00553788" w:rsidRPr="00423625" w:rsidRDefault="00DD270B" w:rsidP="00274D4B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236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Россия как федеративное государство</w:t>
      </w:r>
      <w:r w:rsidR="00553788" w:rsidRPr="004236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состоит из республик, краев, областей, городо</w:t>
      </w:r>
      <w:r w:rsidR="00AE6117" w:rsidRPr="004236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553788" w:rsidRPr="004236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федерального значения, автономной области, автономных округо</w:t>
      </w:r>
      <w:proofErr w:type="gramStart"/>
      <w:r w:rsidR="00553788" w:rsidRPr="004236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A11E79" w:rsidRPr="004236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proofErr w:type="gramEnd"/>
      <w:r w:rsidR="00A11E79" w:rsidRPr="004236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равноправных субъектов РФ</w:t>
      </w:r>
      <w:r w:rsidR="00553788" w:rsidRPr="004236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</w:t>
      </w:r>
      <w:proofErr w:type="spellStart"/>
      <w:r w:rsidR="00553788" w:rsidRPr="004236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</w:t>
      </w:r>
      <w:proofErr w:type="spellEnd"/>
      <w:r w:rsidR="00553788" w:rsidRPr="004236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5 Конституции РФ)</w:t>
      </w:r>
    </w:p>
    <w:p w:rsidR="00A11E79" w:rsidRPr="00423625" w:rsidRDefault="00553788" w:rsidP="00274D4B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236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Федеративная природа России означает, что её </w:t>
      </w:r>
      <w:r w:rsidR="00A11E79" w:rsidRPr="004236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субъекты</w:t>
      </w:r>
      <w:r w:rsidRPr="004236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обладают равным конституционно-правовым статусом независимо от своего наименования, территориальных размеров, численности населения и других факторов. </w:t>
      </w:r>
    </w:p>
    <w:p w:rsidR="00B81D8C" w:rsidRPr="00423625" w:rsidRDefault="00E828ED" w:rsidP="00274D4B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236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Вместе</w:t>
      </w:r>
      <w:r w:rsidR="00A11E79" w:rsidRPr="004236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 тем федеративное государств</w:t>
      </w:r>
      <w:proofErr w:type="gramStart"/>
      <w:r w:rsidR="00A11E79" w:rsidRPr="004236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о-</w:t>
      </w:r>
      <w:proofErr w:type="gramEnd"/>
      <w:r w:rsidRPr="004236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11E79" w:rsidRPr="004236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сложное государство, в котором существуют </w:t>
      </w:r>
      <w:r w:rsidRPr="004236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особые</w:t>
      </w:r>
      <w:r w:rsidR="00A11E79" w:rsidRPr="004236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отношения между федерацией в целом, и её составными частями. С одной стороны, это определённые права</w:t>
      </w:r>
      <w:r w:rsidRPr="004236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самой Российской Федерац</w:t>
      </w:r>
      <w:proofErr w:type="gramStart"/>
      <w:r w:rsidRPr="004236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ии и её</w:t>
      </w:r>
      <w:proofErr w:type="gramEnd"/>
      <w:r w:rsidRPr="004236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субъектов, с другой это определённые возможности взаимного влияния на положение дел, как на федеральном уровне, так и на уровне субъекта.</w:t>
      </w:r>
    </w:p>
    <w:p w:rsidR="0014604E" w:rsidRPr="00423625" w:rsidRDefault="0014604E" w:rsidP="00274D4B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3625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 конституционно закреплены 6 типов субъектов Федерации</w:t>
      </w:r>
      <w:r w:rsidR="004236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236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Конституция РФ делает различие между автономными округами и другими типами субъектов. Особенность первых заключается в том, что </w:t>
      </w:r>
      <w:r w:rsidRPr="0042362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они одновременно являются и частью другого субъекта, и частью самой федерации. Кроме того, с провозглашением равенства субъектов Федерации в Конституции РФ (ст. 5) закреплено различие республик и других субъектов Федерации. Республики названы государствами (это положение содержится в скобках), они имеют конституции, гражданства и ряд других атрибутов государственности. </w:t>
      </w:r>
      <w:r w:rsidR="00B74093" w:rsidRPr="004236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Свой статус они, в отличие от остальных субъектов РФ, определяют не уставами, а конституциями24, то есть конституционные различия в статусе субъектов Федерации проявляются, в первую оче</w:t>
      </w:r>
      <w:r w:rsidR="00423625" w:rsidRPr="004236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редь, в сфере источников права</w:t>
      </w:r>
      <w:proofErr w:type="gramStart"/>
      <w:r w:rsidR="00B74093" w:rsidRPr="004236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..</w:t>
      </w:r>
      <w:proofErr w:type="gramEnd"/>
      <w:r w:rsidRPr="004236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Другие же субъекты РФ имеют уставы и атрибуты административной территории. Подобные различия могут показаться номинальными. </w:t>
      </w:r>
      <w:r w:rsidR="00297EEE" w:rsidRPr="004236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 же </w:t>
      </w:r>
      <w:r w:rsidRPr="00423625">
        <w:rPr>
          <w:rFonts w:ascii="Times New Roman" w:hAnsi="Times New Roman" w:cs="Times New Roman"/>
          <w:color w:val="000000" w:themeColor="text1"/>
          <w:sz w:val="28"/>
          <w:szCs w:val="28"/>
        </w:rPr>
        <w:t>преимуществом республик является их право устанавливать свои государственные язык</w:t>
      </w:r>
      <w:proofErr w:type="gramStart"/>
      <w:r w:rsidRPr="0042362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297EEE" w:rsidRPr="00423625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gramEnd"/>
      <w:r w:rsidR="00297EEE" w:rsidRPr="004236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п2 </w:t>
      </w:r>
      <w:proofErr w:type="spellStart"/>
      <w:r w:rsidR="00297EEE" w:rsidRPr="00423625">
        <w:rPr>
          <w:rFonts w:ascii="Times New Roman" w:hAnsi="Times New Roman" w:cs="Times New Roman"/>
          <w:color w:val="000000" w:themeColor="text1"/>
          <w:sz w:val="28"/>
          <w:szCs w:val="28"/>
        </w:rPr>
        <w:t>ст</w:t>
      </w:r>
      <w:proofErr w:type="spellEnd"/>
      <w:r w:rsidR="00297EEE" w:rsidRPr="004236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68)</w:t>
      </w:r>
      <w:r w:rsidRPr="004236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Это положение способно провоцировать республики на введение языковых цензов для занятия государственных должностей, т. е. на определенное ущемление прав представителей </w:t>
      </w:r>
      <w:proofErr w:type="spellStart"/>
      <w:r w:rsidRPr="00423625">
        <w:rPr>
          <w:rFonts w:ascii="Times New Roman" w:hAnsi="Times New Roman" w:cs="Times New Roman"/>
          <w:color w:val="000000" w:themeColor="text1"/>
          <w:sz w:val="28"/>
          <w:szCs w:val="28"/>
        </w:rPr>
        <w:t>нетитульных</w:t>
      </w:r>
      <w:proofErr w:type="spellEnd"/>
      <w:r w:rsidRPr="004236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этносов.</w:t>
      </w:r>
      <w:r w:rsidR="00B74093" w:rsidRPr="004236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Из этого </w:t>
      </w:r>
      <w:proofErr w:type="spellStart"/>
      <w:r w:rsidR="00B74093" w:rsidRPr="004236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слудует</w:t>
      </w:r>
      <w:proofErr w:type="spellEnd"/>
      <w:r w:rsidR="00B74093" w:rsidRPr="004236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что декларированное равноправие субъектов Федерации не обеспечивается в политико-правовой реальности. </w:t>
      </w:r>
      <w:proofErr w:type="gramStart"/>
      <w:r w:rsidR="00B74093" w:rsidRPr="004236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Констатируемая</w:t>
      </w:r>
      <w:proofErr w:type="gramEnd"/>
      <w:r w:rsidR="00B74093" w:rsidRPr="004236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74093" w:rsidRPr="004236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разностатусность</w:t>
      </w:r>
      <w:proofErr w:type="spellEnd"/>
      <w:r w:rsidR="00B74093" w:rsidRPr="004236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субъектов на практике ведет к их неравноправию</w:t>
      </w:r>
    </w:p>
    <w:p w:rsidR="00AE6AA7" w:rsidRPr="00423625" w:rsidRDefault="00423625" w:rsidP="00AE6AA7">
      <w:pPr>
        <w:spacing w:line="360" w:lineRule="auto"/>
        <w:ind w:firstLine="709"/>
        <w:jc w:val="both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23625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Политическую асимметрию чаще всего вызывают различия в численности населения, размер территории,  социально-экономическое положение субъекта, его ресурсное богатство. </w:t>
      </w:r>
      <w:r w:rsidR="007E1B6B" w:rsidRPr="004236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76107" w:rsidRPr="004236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Политическая асимметрия обычно является источником нестабильности и ведет </w:t>
      </w:r>
      <w:proofErr w:type="gramStart"/>
      <w:r w:rsidR="00A76107" w:rsidRPr="004236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</w:t>
      </w:r>
      <w:proofErr w:type="gramEnd"/>
      <w:r w:rsidR="00A76107" w:rsidRPr="004236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="00A76107" w:rsidRPr="004236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различного</w:t>
      </w:r>
      <w:proofErr w:type="gramEnd"/>
      <w:r w:rsidR="00A76107" w:rsidRPr="004236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рода конкуренции и противоречиям. Это особенно очевидно в случаях, когда одна из частей федерации занимает значительную часть ее территории и явно домини</w:t>
      </w:r>
      <w:r w:rsidR="00A76107" w:rsidRPr="004236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  <w:t>рует над остальными.</w:t>
      </w:r>
      <w:r w:rsidR="00A76107" w:rsidRPr="00423625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AE6AA7" w:rsidRPr="00423625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2A5BAD" w:rsidRPr="00423625" w:rsidRDefault="007E1B6B" w:rsidP="00274D4B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36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Одним из определяющих факторов политической асимметрии, по мнению Д. В. Давыдова, является</w:t>
      </w:r>
      <w:r w:rsidR="00AE6AA7" w:rsidRPr="004236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236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численность населения субъекта. Чем больше численность населения, тем больше территориальных избирательных округов на территории данного субъекта, и, в результате, тем выше число </w:t>
      </w:r>
      <w:r w:rsidRPr="004236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представителей региона в Государственной Думе и больше защищенности интересов.</w:t>
      </w:r>
      <w:r w:rsidR="00F94C7C" w:rsidRPr="004236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A5BAD" w:rsidRPr="004236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Россия делится на 225 одномандатных округов, в которых население напрямую выбирает представителя в Государственную Думу</w:t>
      </w:r>
      <w:proofErr w:type="gramStart"/>
      <w:r w:rsidR="002A5BAD" w:rsidRPr="004236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.</w:t>
      </w:r>
      <w:proofErr w:type="gramEnd"/>
      <w:r w:rsidR="002A5BAD" w:rsidRPr="004236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A5BAD" w:rsidRPr="004236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Образование одномандатных избирательных округов осуществляется на основании сведений о численности избирателей, участников референдума, зарегистрированных на территориях субъектов Российской Федерации в соответствии с требованиями, предусмотренными </w:t>
      </w:r>
      <w:hyperlink r:id="rId5" w:history="1">
        <w:r w:rsidR="002A5BAD" w:rsidRPr="00423625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16</w:t>
        </w:r>
      </w:hyperlink>
      <w:r w:rsidR="002A5BAD" w:rsidRPr="004236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"Об основных гарантиях избирательных прав и права на участие в референдуме граждан Российской Федерации". Если в субъекте </w:t>
      </w:r>
      <w:proofErr w:type="spellStart"/>
      <w:r w:rsidR="002A5BAD" w:rsidRPr="00423625">
        <w:rPr>
          <w:rFonts w:ascii="Times New Roman" w:hAnsi="Times New Roman" w:cs="Times New Roman"/>
          <w:color w:val="000000" w:themeColor="text1"/>
          <w:sz w:val="28"/>
          <w:szCs w:val="28"/>
        </w:rPr>
        <w:t>зарегестрированных</w:t>
      </w:r>
      <w:proofErr w:type="spellEnd"/>
      <w:r w:rsidR="002A5BAD" w:rsidRPr="004236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избирателей меньше единой нормы, такому субъекту выделяется по одному одномандатному избирательному округу</w:t>
      </w:r>
      <w:proofErr w:type="gramStart"/>
      <w:r w:rsidR="002A5BAD" w:rsidRPr="004236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="002A5BAD" w:rsidRPr="004236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gramStart"/>
      <w:r w:rsidR="002A5BAD" w:rsidRPr="00423625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="002A5BAD" w:rsidRPr="00423625">
        <w:rPr>
          <w:rFonts w:ascii="Times New Roman" w:hAnsi="Times New Roman" w:cs="Times New Roman"/>
          <w:color w:val="000000" w:themeColor="text1"/>
          <w:sz w:val="28"/>
          <w:szCs w:val="28"/>
        </w:rPr>
        <w:t>4 ст12)</w:t>
      </w:r>
    </w:p>
    <w:p w:rsidR="001B0095" w:rsidRPr="00423625" w:rsidRDefault="006F0733" w:rsidP="00274D4B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3625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Рассмотрим распределение одномандатных избирательных округов на выборы, которые пройдут 18 сентября 2016 года. Единая норма представительства равна 488 456 человек. (т</w:t>
      </w:r>
      <w:proofErr w:type="gramStart"/>
      <w:r w:rsidRPr="00423625">
        <w:rPr>
          <w:rFonts w:ascii="Times New Roman" w:hAnsi="Times New Roman" w:cs="Times New Roman"/>
          <w:color w:val="000000" w:themeColor="text1"/>
          <w:sz w:val="28"/>
          <w:szCs w:val="28"/>
        </w:rPr>
        <w:t>.к</w:t>
      </w:r>
      <w:proofErr w:type="gramEnd"/>
      <w:r w:rsidRPr="004236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общее число избирателей на 1 июля 2015 года составляет 109 миллионов 902 тысячи 583. Разделив на количество округов мы получаем норму) Согласно постановлению ЦИК от 02 сентября 2015 года   №</w:t>
      </w:r>
      <w:r w:rsidRPr="004236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304/1740-6  </w:t>
      </w:r>
      <w:r w:rsidR="0038704C" w:rsidRPr="004236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32 субъектах образованы по 1 округу, в 26 субъектах </w:t>
      </w:r>
      <w:proofErr w:type="gramStart"/>
      <w:r w:rsidR="0038704C" w:rsidRPr="004236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–п</w:t>
      </w:r>
      <w:proofErr w:type="gramEnd"/>
      <w:r w:rsidR="0038704C" w:rsidRPr="004236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два, в 6 субъектах по 3, в 10 субъектах- по четыре, в 3х субъектах – по 5, в 2х субъектах по 6, еще в 2х субъектах по 7, ещё в двух субъектах по 8 и  в Москве и Подмосковье, соответственно 15 и 11.</w:t>
      </w:r>
      <w:r w:rsidRPr="0042362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8E2353" w:rsidRPr="00423625">
        <w:rPr>
          <w:rFonts w:ascii="Times New Roman" w:hAnsi="Times New Roman" w:cs="Times New Roman"/>
          <w:color w:val="000000" w:themeColor="text1"/>
          <w:sz w:val="28"/>
          <w:szCs w:val="28"/>
        </w:rPr>
        <w:t>Т.е.</w:t>
      </w:r>
      <w:r w:rsidR="0038704C" w:rsidRPr="004236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56EFA" w:rsidRPr="004236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субъекты  с образованным 1 округом </w:t>
      </w:r>
      <w:r w:rsidR="0038704C" w:rsidRPr="004236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имеет меньше </w:t>
      </w:r>
      <w:proofErr w:type="spellStart"/>
      <w:r w:rsidR="0038704C" w:rsidRPr="00423625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8E2353" w:rsidRPr="00423625">
        <w:rPr>
          <w:rFonts w:ascii="Times New Roman" w:hAnsi="Times New Roman" w:cs="Times New Roman"/>
          <w:color w:val="000000" w:themeColor="text1"/>
          <w:sz w:val="28"/>
          <w:szCs w:val="28"/>
        </w:rPr>
        <w:t>редствителей</w:t>
      </w:r>
      <w:proofErr w:type="spellEnd"/>
      <w:r w:rsidR="008E2353" w:rsidRPr="004236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своих интересов по сравнению с г</w:t>
      </w:r>
      <w:proofErr w:type="gramStart"/>
      <w:r w:rsidR="008E2353" w:rsidRPr="00423625">
        <w:rPr>
          <w:rFonts w:ascii="Times New Roman" w:hAnsi="Times New Roman" w:cs="Times New Roman"/>
          <w:color w:val="000000" w:themeColor="text1"/>
          <w:sz w:val="28"/>
          <w:szCs w:val="28"/>
        </w:rPr>
        <w:t>.М</w:t>
      </w:r>
      <w:proofErr w:type="gramEnd"/>
      <w:r w:rsidR="008E2353" w:rsidRPr="00423625">
        <w:rPr>
          <w:rFonts w:ascii="Times New Roman" w:hAnsi="Times New Roman" w:cs="Times New Roman"/>
          <w:color w:val="000000" w:themeColor="text1"/>
          <w:sz w:val="28"/>
          <w:szCs w:val="28"/>
        </w:rPr>
        <w:t>осква (15)</w:t>
      </w:r>
      <w:r w:rsidR="00456EFA" w:rsidRPr="004236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Это и </w:t>
      </w:r>
      <w:r w:rsidR="008E2353" w:rsidRPr="004236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выражает </w:t>
      </w:r>
      <w:r w:rsidR="00456EFA" w:rsidRPr="00423625">
        <w:rPr>
          <w:rFonts w:ascii="Times New Roman" w:hAnsi="Times New Roman" w:cs="Times New Roman"/>
          <w:color w:val="000000" w:themeColor="text1"/>
          <w:sz w:val="28"/>
          <w:szCs w:val="28"/>
        </w:rPr>
        <w:t>не равенство субъектов.</w:t>
      </w:r>
      <w:r w:rsidR="008E2353" w:rsidRPr="004236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позволяет ли это части субъектов</w:t>
      </w:r>
      <w:proofErr w:type="gramStart"/>
      <w:r w:rsidR="008E2353" w:rsidRPr="004236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="008E2353" w:rsidRPr="004236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имеющих на своей территории больше округов продвигать свои интере</w:t>
      </w:r>
      <w:r w:rsidR="00FB5193" w:rsidRPr="00423625">
        <w:rPr>
          <w:rFonts w:ascii="Times New Roman" w:hAnsi="Times New Roman" w:cs="Times New Roman"/>
          <w:color w:val="000000" w:themeColor="text1"/>
          <w:sz w:val="28"/>
          <w:szCs w:val="28"/>
        </w:rPr>
        <w:t>сы, ставить их в приоритет</w:t>
      </w:r>
      <w:r w:rsidR="008E2353" w:rsidRPr="004236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8E2353" w:rsidRPr="00423625" w:rsidRDefault="009B068F" w:rsidP="00274D4B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36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Это указывает на </w:t>
      </w:r>
      <w:r w:rsidR="002E4791" w:rsidRPr="004236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необходимость </w:t>
      </w:r>
      <w:r w:rsidRPr="004236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обеспечить материальное равенство, путём </w:t>
      </w:r>
      <w:r w:rsidR="002E4791" w:rsidRPr="004236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изменения границ избирательных округов с целью образования избирательных округов с равной численностью избирателей. С другой стороны, заранее зная политический расклад по территориям - какие группы </w:t>
      </w:r>
      <w:r w:rsidR="002E4791" w:rsidRPr="0042362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населения поддерживают те или иные партии и где эти группы территориально расселены, правящая партия может таким образом произвести нарезку избирательных округов перед выборами, что создаст искусственный перевес своих сторонников над сторонниками других партий в определенных избирательных округах</w:t>
      </w:r>
    </w:p>
    <w:p w:rsidR="00346DEA" w:rsidRPr="00423625" w:rsidRDefault="00346DEA" w:rsidP="001B1BE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236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Необходимо отметить  нарушение избирательных прав представителей коренных малочисленных народов. Так, в докладе </w:t>
      </w:r>
      <w:r w:rsidR="001B1BEB" w:rsidRPr="004236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уполномоченного по </w:t>
      </w:r>
      <w:proofErr w:type="spellStart"/>
      <w:r w:rsidR="001B1BEB" w:rsidRPr="004236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провам</w:t>
      </w:r>
      <w:proofErr w:type="spellEnd"/>
      <w:r w:rsidR="001B1BEB" w:rsidRPr="004236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человека Иркутской области за 2015 год,</w:t>
      </w:r>
      <w:r w:rsidRPr="004236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одна из семей, ведущих традиционный эвенкийский образ жизни в </w:t>
      </w:r>
      <w:proofErr w:type="spellStart"/>
      <w:r w:rsidRPr="004236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Катангском</w:t>
      </w:r>
      <w:proofErr w:type="spellEnd"/>
      <w:r w:rsidRPr="004236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районе, занимающаяся кочевым оленеводством, сообщила, что лишена возможности участвовать в выборах органов власти федерального, регионального и местного уровня. Аналогичное обращение поступило и от представителей коренных малочисленных народов, проживающих в </w:t>
      </w:r>
      <w:proofErr w:type="spellStart"/>
      <w:r w:rsidRPr="004236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Казачиснско-Ленском</w:t>
      </w:r>
      <w:proofErr w:type="spellEnd"/>
      <w:r w:rsidRPr="004236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районе.</w:t>
      </w:r>
      <w:r w:rsidR="001B1BEB" w:rsidRPr="004236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Не имея постоянного места </w:t>
      </w:r>
      <w:r w:rsidR="00423625" w:rsidRPr="004236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жительства,</w:t>
      </w:r>
      <w:r w:rsidR="001B1BEB" w:rsidRPr="004236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граждане не были внесены в список избирателей.</w:t>
      </w:r>
      <w:r w:rsidR="001B1BEB" w:rsidRPr="004236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AE6AA7" w:rsidRPr="00423625" w:rsidRDefault="00AE6AA7" w:rsidP="00346DEA">
      <w:pPr>
        <w:shd w:val="clear" w:color="auto" w:fill="FFFFFF"/>
        <w:spacing w:before="100" w:beforeAutospacing="1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36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Политический вес субъектов федерации и их лидеров во многом определяет способность конкретных регионов участвовать в разработке и принятии важнейших политических и правовых решений в общенациональном масштабе. Все это характерно и для России, где крупные и </w:t>
      </w:r>
      <w:proofErr w:type="gramStart"/>
      <w:r w:rsidRPr="004236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более экономически</w:t>
      </w:r>
      <w:proofErr w:type="gramEnd"/>
      <w:r w:rsidRPr="004236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развитые регионы, а также субъекты Федерации, обладающие значительными запасами природных богатств, оказывают определенное влияние на федеральную внутреннюю политику.</w:t>
      </w:r>
      <w:r w:rsidRPr="004236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23625" w:rsidRPr="00423625">
        <w:rPr>
          <w:rFonts w:ascii="Times New Roman" w:hAnsi="Times New Roman" w:cs="Times New Roman"/>
          <w:color w:val="000000" w:themeColor="text1"/>
          <w:sz w:val="28"/>
          <w:szCs w:val="28"/>
        </w:rPr>
        <w:t>Таким субъектам выделяется больше финансирования на дальнейшую разработку и развитие своего экономического потенциала. В России ярко выражена пространственная концентрация экономической активности.</w:t>
      </w:r>
    </w:p>
    <w:p w:rsidR="001B0095" w:rsidRPr="00423625" w:rsidRDefault="001B0095" w:rsidP="00274D4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36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Другим спорным вопросом является представительство населения автономного округа в законодательном собрании области (края), в состав которой округ входит. На основании своего вхождения в область (край) от округа избираются депутаты в предст</w:t>
      </w:r>
      <w:r w:rsidR="00FB5193" w:rsidRPr="004236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авительный орган области (края).</w:t>
      </w:r>
      <w:r w:rsidRPr="004236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</w:t>
      </w:r>
      <w:r w:rsidRPr="004236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тоже время население округа избирает и окружное законодательное собрание. Таким образом, избиратели округа получают двойное представительство в законодательных органах власти двух субъектов Федерации и имеют соответствующие преимущества по сравнению с остальными избирателями области (края). Тем самым нарушаются и принципы демократии и равенства граждан России, поскольку интересы ряда граждан представлены на федеральном уровне и дважды на региональном уровне, в то время как интересы остальных - только на федеральном уровне и уровне своего субъекта Федерации.</w:t>
      </w:r>
    </w:p>
    <w:p w:rsidR="00B74093" w:rsidRPr="00423625" w:rsidRDefault="001B0095" w:rsidP="00BE4B8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36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Изначально округа создавались для поддержки малых народностей, вследствие чего им была характерна административная подчиненность соответствующе</w:t>
      </w:r>
      <w:r w:rsidR="00FB5193" w:rsidRPr="004236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 области (края)</w:t>
      </w:r>
      <w:r w:rsidRPr="004236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 состав которой они входили. Однако с подписанием Федеративного договора статус автономных округов был повышен до статуса субъектов Федерации. В Конституции РФ они были полностью уравнены в правах по отношению к другим субъектам Федерации, включая и те, в состав которых они входили</w:t>
      </w:r>
      <w:r w:rsidR="00AE6AA7" w:rsidRPr="004236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Стоит заметить,</w:t>
      </w:r>
      <w:r w:rsidR="00AE6AA7" w:rsidRPr="004236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что в  Конституции Российской Федерации не </w:t>
      </w:r>
      <w:proofErr w:type="gramStart"/>
      <w:r w:rsidR="00AE6AA7" w:rsidRPr="004236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предусмотрен</w:t>
      </w:r>
      <w:proofErr w:type="gramEnd"/>
      <w:r w:rsidR="00AE6AA7" w:rsidRPr="004236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выхода автономного округа из состава субъекта Федерации. Более того, при определенных условиях подобные действия могут нарушать соответствующие нормы федеральной Конституции, которые устанавливают территориальную целостность субъектов Федерации и порядок изменения границ субъектов Федерации исключительно с их согласия.</w:t>
      </w:r>
    </w:p>
    <w:p w:rsidR="00274D4B" w:rsidRDefault="00532B1F" w:rsidP="00BE4B86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36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Субъекты РФ не равны по размеру территории, численности населения, национальному составу, экономическому потенциалу и т. д. (в частности, на Москву приходится 0,3 % территории, но почти 10 % населения Российской Федерации, более 1/3 доходов федерального бюджета). Тем не </w:t>
      </w:r>
      <w:proofErr w:type="gramStart"/>
      <w:r w:rsidRPr="00423625">
        <w:rPr>
          <w:rFonts w:ascii="Times New Roman" w:hAnsi="Times New Roman" w:cs="Times New Roman"/>
          <w:color w:val="000000" w:themeColor="text1"/>
          <w:sz w:val="28"/>
          <w:szCs w:val="28"/>
        </w:rPr>
        <w:t>менее</w:t>
      </w:r>
      <w:proofErr w:type="gramEnd"/>
      <w:r w:rsidRPr="004236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совершенно очевидно, что в едином федеративном государстве все субъекты РФ должны иметь равные права, равные возможности в реализации политических, социально-экономических и иных прав своих народов и </w:t>
      </w:r>
      <w:r w:rsidRPr="0042362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каждой личности. И равенство это должно проявляться главным образом во взаимоотношениях с органами государственной власти РФ, в предоставлении субъектам одинакового объема прав и полномочий по предметам их ведения и совместного ведения Российской Федерации и субъектов РФ.</w:t>
      </w:r>
      <w:r w:rsidR="00423625" w:rsidRPr="004236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Размер территории субъекта влияет на осуществление политических прав</w:t>
      </w:r>
      <w:proofErr w:type="gramStart"/>
      <w:r w:rsidR="00423625" w:rsidRPr="004236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</w:t>
      </w:r>
      <w:proofErr w:type="gramEnd"/>
      <w:r w:rsidR="00423625" w:rsidRPr="004236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субъектах с большой территорией и низкой плотностью населения граждане, живущие в отдалении от городов и крупных населённых пунктов , не всегда имеют в доступ к избирательному участку, в виду погодных и транспортных условий.</w:t>
      </w:r>
    </w:p>
    <w:p w:rsidR="00BE4B86" w:rsidRPr="00BE4B86" w:rsidRDefault="00BE4B86" w:rsidP="00BE4B8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4B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Субъекты РФ в главном равноправны.</w:t>
      </w:r>
      <w:r w:rsidRPr="00BE4B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Но это равноправие нельзя понимать в абсолютном смысле, как полное равноправие во всем, исключающее любое, даже частичное неравноправие в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каком-либо </w:t>
      </w:r>
      <w:r w:rsidRPr="00BE4B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отношении.</w:t>
      </w:r>
      <w:r w:rsidRPr="00BE4B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таком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понимании ас</w:t>
      </w:r>
      <w:r w:rsidRPr="00BE4B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Pr="00BE4B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етрия субъектов РФ существует. Несмотря на конституционные нормы о равенстве субъектов Федерации, основной закон России закрепил </w:t>
      </w:r>
      <w:proofErr w:type="spellStart"/>
      <w:r w:rsidRPr="00BE4B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разностатусность</w:t>
      </w:r>
      <w:proofErr w:type="spellEnd"/>
      <w:r w:rsidRPr="00BE4B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российских территорий. Таким образом, в Конституции России содержится декларированное, но не обеспечиваемое реально равноправие субъектов Федерации: с одной стороны субъекты Федерации равноправны, с другой стороны ряд из них обладает определенными конституционно-правовыми привилегиями, недоступными для других, а некоторые субъекты Федерации входят в состав других субъектов Федерации.  </w:t>
      </w:r>
      <w:proofErr w:type="spellStart"/>
      <w:r w:rsidRPr="00BE4B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Соответсвено</w:t>
      </w:r>
      <w:proofErr w:type="spellEnd"/>
      <w:r w:rsidRPr="00BE4B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существует различие между положением субъектов. И Российский федерализм можно считать ассиметричным.</w:t>
      </w:r>
    </w:p>
    <w:p w:rsidR="00274D4B" w:rsidRPr="00274D4B" w:rsidRDefault="00274D4B" w:rsidP="00274D4B">
      <w:pPr>
        <w:pStyle w:val="a3"/>
        <w:shd w:val="clear" w:color="auto" w:fill="FFFFFF"/>
        <w:spacing w:before="42" w:beforeAutospacing="0" w:after="42" w:afterAutospacing="0" w:line="360" w:lineRule="auto"/>
        <w:ind w:left="42" w:right="42" w:firstLine="709"/>
        <w:jc w:val="both"/>
        <w:textAlignment w:val="top"/>
        <w:rPr>
          <w:rStyle w:val="a4"/>
          <w:i w:val="0"/>
          <w:iCs w:val="0"/>
          <w:color w:val="000000" w:themeColor="text1"/>
          <w:sz w:val="28"/>
          <w:szCs w:val="28"/>
        </w:rPr>
      </w:pPr>
      <w:r w:rsidRPr="00274D4B">
        <w:rPr>
          <w:color w:val="000000" w:themeColor="text1"/>
          <w:sz w:val="28"/>
          <w:szCs w:val="28"/>
        </w:rPr>
        <w:t xml:space="preserve">Основными механизмами адаптации территориального устройства к новым реалиям являются увеличение (разукрупнение, дробление) или уменьшение (укрупнение, объединение) территориальных единиц, осуществляемые посредством либо присоединения к одним единицам отдельных частей или целых соседних единиц, либо передачи единицей участков ее территории соседним единицам. Понятно, что вопросы </w:t>
      </w:r>
      <w:r w:rsidRPr="00274D4B">
        <w:rPr>
          <w:color w:val="000000" w:themeColor="text1"/>
          <w:sz w:val="28"/>
          <w:szCs w:val="28"/>
        </w:rPr>
        <w:lastRenderedPageBreak/>
        <w:t xml:space="preserve">оптимальности таких преобразований для сохранения устойчивости территориального и политического  устройства государства в текущий момент и в обозримой перспективе либо не поднимаются вовсе, либо оказываются на периферии политического </w:t>
      </w:r>
      <w:proofErr w:type="spellStart"/>
      <w:r w:rsidRPr="00274D4B">
        <w:rPr>
          <w:color w:val="000000" w:themeColor="text1"/>
          <w:sz w:val="28"/>
          <w:szCs w:val="28"/>
        </w:rPr>
        <w:t>дискурса</w:t>
      </w:r>
      <w:proofErr w:type="spellEnd"/>
      <w:r w:rsidRPr="00274D4B">
        <w:rPr>
          <w:color w:val="000000" w:themeColor="text1"/>
          <w:sz w:val="28"/>
          <w:szCs w:val="28"/>
        </w:rPr>
        <w:t>.</w:t>
      </w:r>
    </w:p>
    <w:p w:rsidR="001B0095" w:rsidRPr="00532B1F" w:rsidRDefault="001B0095" w:rsidP="00274D4B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B0095" w:rsidRPr="00532B1F" w:rsidSect="00F64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proofState w:spelling="clean" w:grammar="clean"/>
  <w:defaultTabStop w:val="708"/>
  <w:characterSpacingControl w:val="doNotCompress"/>
  <w:compat/>
  <w:rsids>
    <w:rsidRoot w:val="000D0379"/>
    <w:rsid w:val="000426F4"/>
    <w:rsid w:val="000D0379"/>
    <w:rsid w:val="0014604E"/>
    <w:rsid w:val="00173B97"/>
    <w:rsid w:val="001B0095"/>
    <w:rsid w:val="001B1BEB"/>
    <w:rsid w:val="00274D4B"/>
    <w:rsid w:val="00290FF2"/>
    <w:rsid w:val="00297EEE"/>
    <w:rsid w:val="002A5BAD"/>
    <w:rsid w:val="002E4791"/>
    <w:rsid w:val="00346DEA"/>
    <w:rsid w:val="0038704C"/>
    <w:rsid w:val="003F2285"/>
    <w:rsid w:val="00423625"/>
    <w:rsid w:val="00456EFA"/>
    <w:rsid w:val="005056C7"/>
    <w:rsid w:val="00532B1F"/>
    <w:rsid w:val="00547D4B"/>
    <w:rsid w:val="00553788"/>
    <w:rsid w:val="005C615F"/>
    <w:rsid w:val="005F0EC5"/>
    <w:rsid w:val="006F0733"/>
    <w:rsid w:val="0076445C"/>
    <w:rsid w:val="007D4D04"/>
    <w:rsid w:val="007E1B6B"/>
    <w:rsid w:val="008E2353"/>
    <w:rsid w:val="0097622A"/>
    <w:rsid w:val="009B068F"/>
    <w:rsid w:val="00A11E79"/>
    <w:rsid w:val="00A76107"/>
    <w:rsid w:val="00AE6117"/>
    <w:rsid w:val="00AE6AA7"/>
    <w:rsid w:val="00B74093"/>
    <w:rsid w:val="00B81D8C"/>
    <w:rsid w:val="00B92496"/>
    <w:rsid w:val="00BC00F6"/>
    <w:rsid w:val="00BE4B86"/>
    <w:rsid w:val="00D27E63"/>
    <w:rsid w:val="00D6046C"/>
    <w:rsid w:val="00DD270B"/>
    <w:rsid w:val="00E828ED"/>
    <w:rsid w:val="00ED5F97"/>
    <w:rsid w:val="00EF0E73"/>
    <w:rsid w:val="00F64DE2"/>
    <w:rsid w:val="00F9321A"/>
    <w:rsid w:val="00F94C7C"/>
    <w:rsid w:val="00FB5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056C7"/>
  </w:style>
  <w:style w:type="character" w:customStyle="1" w:styleId="font2">
    <w:name w:val="font2"/>
    <w:basedOn w:val="a0"/>
    <w:rsid w:val="00F9321A"/>
  </w:style>
  <w:style w:type="paragraph" w:styleId="a3">
    <w:name w:val="Normal (Web)"/>
    <w:basedOn w:val="a"/>
    <w:uiPriority w:val="99"/>
    <w:unhideWhenUsed/>
    <w:rsid w:val="00F93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32B1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4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01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95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05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6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5E6D0557426E6D2B7E247882FF5C77E571A428235FECC878734AC49F3F1BF9FDDB1F38C8DADC189iB44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7E8573-F16E-4673-A066-7CBE4BBB0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740</TotalTime>
  <Pages>7</Pages>
  <Words>1694</Words>
  <Characters>9659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qwerty</cp:lastModifiedBy>
  <cp:revision>12</cp:revision>
  <dcterms:created xsi:type="dcterms:W3CDTF">2016-04-01T11:05:00Z</dcterms:created>
  <dcterms:modified xsi:type="dcterms:W3CDTF">2016-04-09T20:40:00Z</dcterms:modified>
</cp:coreProperties>
</file>