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87" w:rsidRDefault="00353087" w:rsidP="00353087">
      <w:pPr>
        <w:pStyle w:val="FR1"/>
        <w:tabs>
          <w:tab w:val="left" w:pos="900"/>
          <w:tab w:val="left" w:pos="1080"/>
          <w:tab w:val="left" w:pos="5420"/>
        </w:tabs>
        <w:suppressAutoHyphens/>
        <w:spacing w:before="0"/>
        <w:ind w:left="0" w:right="0"/>
        <w:rPr>
          <w:b w:val="0"/>
          <w:color w:val="000000"/>
          <w:sz w:val="28"/>
          <w:szCs w:val="28"/>
        </w:rPr>
      </w:pPr>
      <w:bookmarkStart w:id="0" w:name="_GoBack"/>
      <w:bookmarkEnd w:id="0"/>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p>
    <w:p w:rsidR="00353087" w:rsidRDefault="00353087" w:rsidP="00353087">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353087" w:rsidRPr="009C6F53" w:rsidRDefault="00353087" w:rsidP="00353087">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«Тверской государственный университет»</w:t>
      </w:r>
    </w:p>
    <w:p w:rsidR="00353087" w:rsidRDefault="00353087" w:rsidP="00353087">
      <w:pPr>
        <w:pStyle w:val="3"/>
        <w:keepNext w:val="0"/>
        <w:tabs>
          <w:tab w:val="left" w:pos="900"/>
          <w:tab w:val="left" w:pos="1080"/>
        </w:tabs>
        <w:suppressAutoHyphens/>
        <w:rPr>
          <w:szCs w:val="28"/>
        </w:rPr>
      </w:pPr>
    </w:p>
    <w:p w:rsidR="00353087" w:rsidRPr="009C6F53" w:rsidRDefault="00353087" w:rsidP="00353087">
      <w:pPr>
        <w:pStyle w:val="3"/>
        <w:keepNext w:val="0"/>
        <w:tabs>
          <w:tab w:val="left" w:pos="900"/>
          <w:tab w:val="left" w:pos="1080"/>
        </w:tabs>
        <w:suppressAutoHyphens/>
        <w:rPr>
          <w:b/>
          <w:bCs/>
          <w:szCs w:val="28"/>
        </w:rPr>
      </w:pPr>
      <w:bookmarkStart w:id="1" w:name="_Toc501732024"/>
      <w:bookmarkStart w:id="2" w:name="_Toc501735898"/>
      <w:r>
        <w:rPr>
          <w:szCs w:val="28"/>
        </w:rPr>
        <w:t>Институт экономики и управления</w:t>
      </w:r>
      <w:bookmarkEnd w:id="1"/>
      <w:bookmarkEnd w:id="2"/>
    </w:p>
    <w:p w:rsidR="00353087" w:rsidRDefault="00353087" w:rsidP="00353087">
      <w:pPr>
        <w:pStyle w:val="a3"/>
        <w:tabs>
          <w:tab w:val="left" w:pos="900"/>
          <w:tab w:val="left" w:pos="1080"/>
          <w:tab w:val="left" w:pos="7020"/>
        </w:tabs>
        <w:suppressAutoHyphens/>
        <w:ind w:firstLine="0"/>
        <w:jc w:val="center"/>
        <w:rPr>
          <w:rFonts w:ascii="Times New Roman" w:hAnsi="Times New Roman"/>
          <w:sz w:val="28"/>
          <w:szCs w:val="28"/>
        </w:rPr>
      </w:pPr>
    </w:p>
    <w:p w:rsidR="00353087" w:rsidRPr="009C6F53" w:rsidRDefault="00353087" w:rsidP="00353087">
      <w:pPr>
        <w:pStyle w:val="a3"/>
        <w:tabs>
          <w:tab w:val="left" w:pos="900"/>
          <w:tab w:val="left" w:pos="1080"/>
          <w:tab w:val="left" w:pos="7020"/>
        </w:tabs>
        <w:suppressAutoHyphens/>
        <w:ind w:firstLine="0"/>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p>
    <w:p w:rsidR="00353087" w:rsidRPr="009C6F53" w:rsidRDefault="00353087" w:rsidP="00353087">
      <w:pPr>
        <w:pStyle w:val="a3"/>
        <w:tabs>
          <w:tab w:val="left" w:pos="900"/>
          <w:tab w:val="left" w:pos="1080"/>
          <w:tab w:val="left" w:pos="7020"/>
        </w:tabs>
        <w:suppressAutoHyphens/>
        <w:ind w:firstLine="0"/>
        <w:jc w:val="center"/>
        <w:rPr>
          <w:rFonts w:ascii="Times New Roman" w:hAnsi="Times New Roman"/>
          <w:sz w:val="28"/>
          <w:szCs w:val="28"/>
        </w:rPr>
      </w:pPr>
    </w:p>
    <w:p w:rsidR="00353087" w:rsidRDefault="00353087" w:rsidP="00353087">
      <w:pPr>
        <w:tabs>
          <w:tab w:val="left" w:pos="900"/>
          <w:tab w:val="left" w:pos="1080"/>
        </w:tabs>
        <w:suppressAutoHyphens/>
        <w:ind w:firstLine="567"/>
        <w:jc w:val="center"/>
        <w:rPr>
          <w:b/>
          <w:sz w:val="28"/>
          <w:szCs w:val="28"/>
        </w:rPr>
      </w:pPr>
    </w:p>
    <w:p w:rsidR="00353087" w:rsidRDefault="00353087" w:rsidP="00353087">
      <w:pPr>
        <w:tabs>
          <w:tab w:val="left" w:pos="900"/>
          <w:tab w:val="left" w:pos="1080"/>
        </w:tabs>
        <w:suppressAutoHyphens/>
        <w:ind w:firstLine="567"/>
        <w:jc w:val="center"/>
        <w:rPr>
          <w:b/>
          <w:sz w:val="28"/>
          <w:szCs w:val="28"/>
        </w:rPr>
      </w:pPr>
    </w:p>
    <w:p w:rsidR="00353087" w:rsidRDefault="00353087" w:rsidP="00353087">
      <w:pPr>
        <w:tabs>
          <w:tab w:val="left" w:pos="900"/>
          <w:tab w:val="left" w:pos="1080"/>
        </w:tabs>
        <w:suppressAutoHyphens/>
        <w:ind w:firstLine="567"/>
        <w:jc w:val="center"/>
        <w:rPr>
          <w:b/>
          <w:sz w:val="28"/>
          <w:szCs w:val="28"/>
        </w:rPr>
      </w:pPr>
    </w:p>
    <w:p w:rsidR="00353087" w:rsidRDefault="00353087" w:rsidP="00353087">
      <w:pPr>
        <w:tabs>
          <w:tab w:val="left" w:pos="900"/>
          <w:tab w:val="left" w:pos="1080"/>
        </w:tabs>
        <w:suppressAutoHyphens/>
        <w:ind w:firstLine="567"/>
        <w:jc w:val="center"/>
        <w:rPr>
          <w:b/>
          <w:sz w:val="28"/>
          <w:szCs w:val="28"/>
        </w:rPr>
      </w:pPr>
    </w:p>
    <w:p w:rsidR="00353087" w:rsidRPr="009C6F53" w:rsidRDefault="00353087" w:rsidP="00353087">
      <w:pPr>
        <w:tabs>
          <w:tab w:val="left" w:pos="900"/>
          <w:tab w:val="left" w:pos="1080"/>
        </w:tabs>
        <w:suppressAutoHyphens/>
        <w:ind w:firstLine="567"/>
        <w:jc w:val="center"/>
        <w:rPr>
          <w:b/>
          <w:sz w:val="36"/>
          <w:szCs w:val="36"/>
        </w:rPr>
      </w:pPr>
      <w:r w:rsidRPr="009C6F53">
        <w:rPr>
          <w:b/>
          <w:sz w:val="36"/>
          <w:szCs w:val="36"/>
        </w:rPr>
        <w:t>Отчет</w:t>
      </w:r>
    </w:p>
    <w:p w:rsidR="00353087" w:rsidRDefault="00353087" w:rsidP="00353087">
      <w:pPr>
        <w:tabs>
          <w:tab w:val="left" w:pos="900"/>
          <w:tab w:val="left" w:pos="1080"/>
        </w:tabs>
        <w:suppressAutoHyphens/>
        <w:ind w:firstLine="567"/>
        <w:jc w:val="center"/>
        <w:rPr>
          <w:b/>
          <w:sz w:val="36"/>
          <w:szCs w:val="36"/>
        </w:rPr>
      </w:pPr>
      <w:r>
        <w:rPr>
          <w:b/>
          <w:sz w:val="36"/>
          <w:szCs w:val="36"/>
        </w:rPr>
        <w:t xml:space="preserve"> по научно-исследовательской работе</w:t>
      </w:r>
    </w:p>
    <w:p w:rsidR="00353087" w:rsidRPr="009C6F53" w:rsidRDefault="00353087" w:rsidP="00353087">
      <w:pPr>
        <w:tabs>
          <w:tab w:val="left" w:pos="900"/>
          <w:tab w:val="left" w:pos="1080"/>
        </w:tabs>
        <w:suppressAutoHyphens/>
        <w:ind w:firstLine="567"/>
        <w:jc w:val="center"/>
        <w:rPr>
          <w:sz w:val="36"/>
          <w:szCs w:val="36"/>
        </w:rPr>
      </w:pPr>
      <w:r>
        <w:rPr>
          <w:b/>
          <w:sz w:val="36"/>
          <w:szCs w:val="36"/>
        </w:rPr>
        <w:t>за 2</w:t>
      </w:r>
      <w:r w:rsidRPr="002526C7">
        <w:rPr>
          <w:b/>
          <w:sz w:val="36"/>
          <w:szCs w:val="36"/>
        </w:rPr>
        <w:t xml:space="preserve"> </w:t>
      </w:r>
      <w:r>
        <w:rPr>
          <w:b/>
          <w:sz w:val="36"/>
          <w:szCs w:val="36"/>
        </w:rPr>
        <w:t xml:space="preserve">семестр </w:t>
      </w:r>
    </w:p>
    <w:p w:rsidR="00353087" w:rsidRDefault="00353087" w:rsidP="00353087">
      <w:pPr>
        <w:shd w:val="clear" w:color="auto" w:fill="FFFFFF"/>
        <w:suppressAutoHyphens/>
        <w:jc w:val="center"/>
        <w:rPr>
          <w:spacing w:val="-6"/>
          <w:sz w:val="28"/>
          <w:szCs w:val="28"/>
        </w:rPr>
      </w:pPr>
    </w:p>
    <w:p w:rsidR="00353087" w:rsidRPr="00F37657" w:rsidRDefault="00353087" w:rsidP="00353087">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353087" w:rsidRPr="00EB01CC" w:rsidRDefault="00022228" w:rsidP="00353087">
      <w:pPr>
        <w:shd w:val="clear" w:color="auto" w:fill="FFFFFF"/>
        <w:suppressAutoHyphens/>
        <w:jc w:val="center"/>
        <w:rPr>
          <w:spacing w:val="-6"/>
          <w:sz w:val="28"/>
          <w:szCs w:val="28"/>
        </w:rPr>
      </w:pPr>
      <w:r>
        <w:rPr>
          <w:bCs/>
          <w:sz w:val="28"/>
          <w:szCs w:val="28"/>
        </w:rPr>
        <w:t>38.0</w:t>
      </w:r>
      <w:r w:rsidR="00353087">
        <w:rPr>
          <w:bCs/>
          <w:sz w:val="28"/>
          <w:szCs w:val="28"/>
        </w:rPr>
        <w:t>4.02 МЕНЕДЖМЕНТ</w:t>
      </w:r>
    </w:p>
    <w:p w:rsidR="00353087" w:rsidRPr="00F37657" w:rsidRDefault="00353087" w:rsidP="00353087">
      <w:pPr>
        <w:shd w:val="clear" w:color="auto" w:fill="FFFFFF"/>
        <w:suppressAutoHyphens/>
        <w:jc w:val="center"/>
        <w:rPr>
          <w:sz w:val="28"/>
          <w:szCs w:val="28"/>
        </w:rPr>
      </w:pPr>
    </w:p>
    <w:p w:rsidR="00353087" w:rsidRDefault="00353087" w:rsidP="00353087">
      <w:pPr>
        <w:shd w:val="clear" w:color="auto" w:fill="FFFFFF"/>
        <w:suppressAutoHyphens/>
        <w:jc w:val="center"/>
        <w:rPr>
          <w:sz w:val="28"/>
          <w:szCs w:val="28"/>
        </w:rPr>
      </w:pPr>
      <w:r>
        <w:rPr>
          <w:sz w:val="28"/>
          <w:szCs w:val="28"/>
        </w:rPr>
        <w:t xml:space="preserve">Магистерская программа </w:t>
      </w:r>
    </w:p>
    <w:p w:rsidR="00353087" w:rsidRPr="002526C7" w:rsidRDefault="00353087" w:rsidP="00353087">
      <w:pPr>
        <w:shd w:val="clear" w:color="auto" w:fill="FFFFFF"/>
        <w:suppressAutoHyphens/>
        <w:jc w:val="center"/>
        <w:rPr>
          <w:sz w:val="28"/>
          <w:szCs w:val="28"/>
        </w:rPr>
      </w:pPr>
      <w:r w:rsidRPr="002526C7">
        <w:rPr>
          <w:sz w:val="28"/>
          <w:szCs w:val="28"/>
        </w:rPr>
        <w:t>Стратегическое и корпоративное управление</w:t>
      </w:r>
    </w:p>
    <w:p w:rsidR="00353087" w:rsidRDefault="00353087" w:rsidP="00353087">
      <w:pPr>
        <w:shd w:val="clear" w:color="auto" w:fill="FFFFFF"/>
        <w:suppressAutoHyphens/>
        <w:jc w:val="center"/>
        <w:rPr>
          <w:b/>
          <w:bCs/>
          <w:spacing w:val="-8"/>
          <w:sz w:val="28"/>
          <w:szCs w:val="28"/>
        </w:rPr>
      </w:pPr>
    </w:p>
    <w:p w:rsidR="00353087" w:rsidRPr="009C6F53" w:rsidRDefault="00353087" w:rsidP="00353087">
      <w:pPr>
        <w:shd w:val="clear" w:color="auto" w:fill="FFFFFF"/>
        <w:suppressAutoHyphens/>
        <w:jc w:val="center"/>
        <w:rPr>
          <w:sz w:val="28"/>
          <w:szCs w:val="28"/>
        </w:rPr>
      </w:pPr>
    </w:p>
    <w:p w:rsidR="00353087" w:rsidRPr="00E07FBF" w:rsidRDefault="00353087" w:rsidP="00353087">
      <w:pPr>
        <w:shd w:val="clear" w:color="auto" w:fill="FFFFFF"/>
        <w:suppressAutoHyphens/>
        <w:spacing w:after="2040"/>
        <w:jc w:val="center"/>
        <w:rPr>
          <w:spacing w:val="-7"/>
          <w:sz w:val="28"/>
          <w:szCs w:val="28"/>
        </w:rPr>
      </w:pPr>
      <w:r>
        <w:rPr>
          <w:spacing w:val="-7"/>
          <w:sz w:val="28"/>
          <w:szCs w:val="28"/>
        </w:rPr>
        <w:t>Форма обучения о</w:t>
      </w:r>
      <w:r w:rsidRPr="00EB01CC">
        <w:rPr>
          <w:spacing w:val="-7"/>
          <w:sz w:val="28"/>
          <w:szCs w:val="28"/>
        </w:rPr>
        <w:t>чная</w:t>
      </w:r>
    </w:p>
    <w:p w:rsidR="00353087" w:rsidRDefault="00353087" w:rsidP="00353087">
      <w:pPr>
        <w:tabs>
          <w:tab w:val="left" w:pos="900"/>
          <w:tab w:val="left" w:pos="1080"/>
        </w:tabs>
        <w:suppressAutoHyphens/>
        <w:ind w:firstLine="567"/>
        <w:jc w:val="right"/>
        <w:rPr>
          <w:color w:val="000000"/>
          <w:sz w:val="28"/>
          <w:szCs w:val="28"/>
        </w:rPr>
      </w:pPr>
    </w:p>
    <w:p w:rsidR="00353087" w:rsidRDefault="00353087" w:rsidP="00353087">
      <w:pPr>
        <w:tabs>
          <w:tab w:val="left" w:pos="900"/>
          <w:tab w:val="left" w:pos="1080"/>
        </w:tabs>
        <w:suppressAutoHyphens/>
        <w:ind w:firstLine="567"/>
        <w:jc w:val="right"/>
        <w:rPr>
          <w:color w:val="000000"/>
          <w:sz w:val="28"/>
          <w:szCs w:val="28"/>
        </w:rPr>
      </w:pPr>
      <w:r>
        <w:rPr>
          <w:color w:val="000000"/>
          <w:sz w:val="28"/>
          <w:szCs w:val="28"/>
        </w:rPr>
        <w:t>Обучающаяся</w:t>
      </w:r>
    </w:p>
    <w:p w:rsidR="00353087" w:rsidRDefault="00353087" w:rsidP="00353087">
      <w:pPr>
        <w:tabs>
          <w:tab w:val="left" w:pos="900"/>
          <w:tab w:val="left" w:pos="1080"/>
        </w:tabs>
        <w:suppressAutoHyphens/>
        <w:ind w:firstLine="567"/>
        <w:jc w:val="right"/>
        <w:rPr>
          <w:color w:val="000000"/>
          <w:sz w:val="28"/>
          <w:szCs w:val="28"/>
        </w:rPr>
      </w:pPr>
      <w:r>
        <w:rPr>
          <w:color w:val="000000"/>
          <w:sz w:val="28"/>
          <w:szCs w:val="28"/>
        </w:rPr>
        <w:t>группы 23-м:</w:t>
      </w:r>
    </w:p>
    <w:p w:rsidR="00353087" w:rsidRPr="00261EBE" w:rsidRDefault="00353087" w:rsidP="00353087">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r>
        <w:rPr>
          <w:rFonts w:ascii="Times New Roman" w:hAnsi="Times New Roman"/>
          <w:sz w:val="28"/>
          <w:szCs w:val="28"/>
          <w:lang w:val="ru-RU"/>
        </w:rPr>
        <w:t>Данилов Сергей Александрович</w:t>
      </w:r>
    </w:p>
    <w:p w:rsidR="00353087" w:rsidRDefault="00353087" w:rsidP="00353087">
      <w:pPr>
        <w:tabs>
          <w:tab w:val="left" w:pos="900"/>
          <w:tab w:val="left" w:pos="1080"/>
        </w:tabs>
        <w:suppressAutoHyphens/>
        <w:ind w:firstLine="567"/>
        <w:jc w:val="right"/>
        <w:rPr>
          <w:color w:val="000000"/>
          <w:sz w:val="28"/>
          <w:szCs w:val="28"/>
        </w:rPr>
      </w:pPr>
    </w:p>
    <w:p w:rsidR="00353087" w:rsidRPr="00744F16" w:rsidRDefault="00353087" w:rsidP="00353087">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353087" w:rsidRPr="00744F16" w:rsidRDefault="00353087" w:rsidP="00353087">
      <w:pPr>
        <w:pStyle w:val="a3"/>
        <w:tabs>
          <w:tab w:val="left" w:pos="900"/>
          <w:tab w:val="left" w:pos="1080"/>
          <w:tab w:val="left" w:pos="7020"/>
        </w:tabs>
        <w:suppressAutoHyphens/>
        <w:spacing w:after="1560"/>
        <w:ind w:firstLine="0"/>
        <w:rPr>
          <w:rFonts w:ascii="Times New Roman" w:hAnsi="Times New Roman"/>
          <w:sz w:val="28"/>
          <w:szCs w:val="28"/>
        </w:rPr>
      </w:pPr>
      <w:proofErr w:type="spellStart"/>
      <w:r>
        <w:rPr>
          <w:rFonts w:ascii="Times New Roman" w:hAnsi="Times New Roman"/>
          <w:sz w:val="28"/>
          <w:szCs w:val="28"/>
          <w:lang w:val="ru-RU"/>
        </w:rPr>
        <w:t>Беденко</w:t>
      </w:r>
      <w:proofErr w:type="spellEnd"/>
      <w:r>
        <w:rPr>
          <w:rFonts w:ascii="Times New Roman" w:hAnsi="Times New Roman"/>
          <w:sz w:val="28"/>
          <w:szCs w:val="28"/>
          <w:lang w:val="ru-RU"/>
        </w:rPr>
        <w:t xml:space="preserve"> Н.Н.</w:t>
      </w:r>
      <w:r w:rsidRPr="00744F16">
        <w:rPr>
          <w:rFonts w:ascii="Times New Roman" w:hAnsi="Times New Roman"/>
          <w:sz w:val="28"/>
          <w:szCs w:val="28"/>
        </w:rPr>
        <w:t xml:space="preserve">, д.э.н., </w:t>
      </w:r>
      <w:r>
        <w:rPr>
          <w:rFonts w:ascii="Times New Roman" w:hAnsi="Times New Roman"/>
          <w:sz w:val="28"/>
          <w:szCs w:val="28"/>
        </w:rPr>
        <w:t>доцент</w:t>
      </w:r>
    </w:p>
    <w:p w:rsidR="00353087" w:rsidRDefault="00353087" w:rsidP="00353087">
      <w:pPr>
        <w:shd w:val="clear" w:color="auto" w:fill="FFFFFF"/>
        <w:jc w:val="center"/>
        <w:rPr>
          <w:color w:val="000000"/>
          <w:spacing w:val="-1"/>
          <w:sz w:val="28"/>
          <w:szCs w:val="28"/>
        </w:rPr>
      </w:pPr>
      <w:r>
        <w:rPr>
          <w:color w:val="000000"/>
          <w:spacing w:val="-1"/>
          <w:sz w:val="28"/>
          <w:szCs w:val="28"/>
        </w:rPr>
        <w:t>Тверь 2017</w:t>
      </w:r>
    </w:p>
    <w:p w:rsidR="00B704B3" w:rsidRDefault="00B704B3"/>
    <w:p w:rsidR="00353087" w:rsidRPr="00022228" w:rsidRDefault="00353087" w:rsidP="00353087">
      <w:pPr>
        <w:pStyle w:val="a5"/>
        <w:spacing w:before="0" w:line="360" w:lineRule="auto"/>
        <w:jc w:val="center"/>
        <w:rPr>
          <w:rFonts w:ascii="Times New Roman" w:hAnsi="Times New Roman"/>
          <w:b w:val="0"/>
          <w:color w:val="auto"/>
        </w:rPr>
      </w:pPr>
      <w:r w:rsidRPr="00022228">
        <w:rPr>
          <w:rFonts w:ascii="Times New Roman" w:hAnsi="Times New Roman"/>
          <w:b w:val="0"/>
          <w:color w:val="auto"/>
        </w:rPr>
        <w:lastRenderedPageBreak/>
        <w:t>СОДЕРЖАНИЕ</w:t>
      </w:r>
    </w:p>
    <w:p w:rsidR="00353087" w:rsidRPr="00022228" w:rsidRDefault="00353087" w:rsidP="00353087">
      <w:pPr>
        <w:pStyle w:val="31"/>
        <w:tabs>
          <w:tab w:val="right" w:leader="dot" w:pos="10195"/>
        </w:tabs>
        <w:spacing w:line="360" w:lineRule="auto"/>
        <w:ind w:left="0" w:firstLine="709"/>
        <w:jc w:val="both"/>
        <w:rPr>
          <w:noProof/>
          <w:sz w:val="28"/>
          <w:szCs w:val="28"/>
        </w:rPr>
      </w:pPr>
      <w:r w:rsidRPr="00022228">
        <w:rPr>
          <w:sz w:val="28"/>
          <w:szCs w:val="28"/>
        </w:rPr>
        <w:fldChar w:fldCharType="begin"/>
      </w:r>
      <w:r w:rsidRPr="00022228">
        <w:rPr>
          <w:sz w:val="28"/>
          <w:szCs w:val="28"/>
        </w:rPr>
        <w:instrText xml:space="preserve"> TOC \o "1-3" \h \z \u </w:instrText>
      </w:r>
      <w:r w:rsidRPr="00022228">
        <w:rPr>
          <w:sz w:val="28"/>
          <w:szCs w:val="28"/>
        </w:rPr>
        <w:fldChar w:fldCharType="separate"/>
      </w:r>
      <w:hyperlink w:anchor="_Toc501735898" w:history="1"/>
    </w:p>
    <w:p w:rsidR="00353087" w:rsidRPr="00022228" w:rsidRDefault="00765900" w:rsidP="00353087">
      <w:pPr>
        <w:pStyle w:val="11"/>
        <w:tabs>
          <w:tab w:val="left" w:pos="400"/>
          <w:tab w:val="right" w:leader="dot" w:pos="10195"/>
        </w:tabs>
        <w:spacing w:line="360" w:lineRule="auto"/>
        <w:ind w:firstLine="709"/>
        <w:jc w:val="both"/>
        <w:rPr>
          <w:noProof/>
          <w:sz w:val="28"/>
          <w:szCs w:val="28"/>
        </w:rPr>
      </w:pPr>
      <w:hyperlink w:anchor="_Toc501735899" w:history="1">
        <w:r w:rsidR="00353087" w:rsidRPr="00022228">
          <w:rPr>
            <w:rStyle w:val="a6"/>
            <w:noProof/>
            <w:sz w:val="28"/>
            <w:szCs w:val="28"/>
          </w:rPr>
          <w:t>1.</w:t>
        </w:r>
        <w:r w:rsidR="00353087" w:rsidRPr="00022228">
          <w:rPr>
            <w:noProof/>
            <w:sz w:val="28"/>
            <w:szCs w:val="28"/>
          </w:rPr>
          <w:tab/>
        </w:r>
        <w:r w:rsidR="00353087" w:rsidRPr="00022228">
          <w:rPr>
            <w:rStyle w:val="a6"/>
            <w:bCs/>
            <w:noProof/>
            <w:sz w:val="28"/>
            <w:szCs w:val="28"/>
          </w:rPr>
          <w:t>Публикация статьи на тему: «</w:t>
        </w:r>
        <w:r w:rsidR="00E16006" w:rsidRPr="00022228">
          <w:rPr>
            <w:rStyle w:val="a6"/>
            <w:noProof/>
            <w:sz w:val="28"/>
            <w:szCs w:val="28"/>
          </w:rPr>
          <w:t>Финансовая устойчивость корпоративных структур</w:t>
        </w:r>
        <w:r w:rsidR="00353087" w:rsidRPr="00022228">
          <w:rPr>
            <w:rStyle w:val="a6"/>
            <w:noProof/>
            <w:sz w:val="28"/>
            <w:szCs w:val="28"/>
          </w:rPr>
          <w:t>» в сборнике «ПРОБЛЕМЫ УПРАВЛЕНИЯ СОЦИАЛЬНО-ЭКОНОМИЧЕСКИМИ СИСТЕМАМИ: ТЕОРИЯ И ПРАКТИКА»</w:t>
        </w:r>
        <w:r w:rsidR="00353087" w:rsidRPr="00022228">
          <w:rPr>
            <w:noProof/>
            <w:webHidden/>
            <w:sz w:val="28"/>
            <w:szCs w:val="28"/>
          </w:rPr>
          <w:tab/>
        </w:r>
        <w:r w:rsidR="00353087" w:rsidRPr="00022228">
          <w:rPr>
            <w:noProof/>
            <w:webHidden/>
            <w:sz w:val="28"/>
            <w:szCs w:val="28"/>
          </w:rPr>
          <w:fldChar w:fldCharType="begin"/>
        </w:r>
        <w:r w:rsidR="00353087" w:rsidRPr="00022228">
          <w:rPr>
            <w:noProof/>
            <w:webHidden/>
            <w:sz w:val="28"/>
            <w:szCs w:val="28"/>
          </w:rPr>
          <w:instrText xml:space="preserve"> PAGEREF _Toc501735899 \h </w:instrText>
        </w:r>
        <w:r w:rsidR="00353087" w:rsidRPr="00022228">
          <w:rPr>
            <w:noProof/>
            <w:webHidden/>
            <w:sz w:val="28"/>
            <w:szCs w:val="28"/>
          </w:rPr>
        </w:r>
        <w:r w:rsidR="00353087" w:rsidRPr="00022228">
          <w:rPr>
            <w:noProof/>
            <w:webHidden/>
            <w:sz w:val="28"/>
            <w:szCs w:val="28"/>
          </w:rPr>
          <w:fldChar w:fldCharType="separate"/>
        </w:r>
        <w:r w:rsidR="00353087" w:rsidRPr="00022228">
          <w:rPr>
            <w:noProof/>
            <w:webHidden/>
            <w:sz w:val="28"/>
            <w:szCs w:val="28"/>
          </w:rPr>
          <w:t>3</w:t>
        </w:r>
        <w:r w:rsidR="00353087" w:rsidRPr="00022228">
          <w:rPr>
            <w:noProof/>
            <w:webHidden/>
            <w:sz w:val="28"/>
            <w:szCs w:val="28"/>
          </w:rPr>
          <w:fldChar w:fldCharType="end"/>
        </w:r>
      </w:hyperlink>
    </w:p>
    <w:p w:rsidR="00353087" w:rsidRPr="00022228" w:rsidRDefault="00765900" w:rsidP="00353087">
      <w:pPr>
        <w:pStyle w:val="11"/>
        <w:tabs>
          <w:tab w:val="right" w:leader="dot" w:pos="10195"/>
        </w:tabs>
        <w:spacing w:line="360" w:lineRule="auto"/>
        <w:ind w:firstLine="709"/>
        <w:jc w:val="both"/>
        <w:rPr>
          <w:noProof/>
          <w:sz w:val="28"/>
          <w:szCs w:val="28"/>
        </w:rPr>
      </w:pPr>
      <w:hyperlink w:anchor="_Toc501735900" w:history="1">
        <w:r w:rsidR="00353087" w:rsidRPr="00022228">
          <w:rPr>
            <w:rStyle w:val="a6"/>
            <w:noProof/>
            <w:sz w:val="28"/>
            <w:szCs w:val="28"/>
          </w:rPr>
          <w:t>2. Библиографический список</w:t>
        </w:r>
        <w:r w:rsidR="00353087" w:rsidRPr="00022228">
          <w:rPr>
            <w:noProof/>
            <w:webHidden/>
            <w:sz w:val="28"/>
            <w:szCs w:val="28"/>
          </w:rPr>
          <w:tab/>
        </w:r>
      </w:hyperlink>
      <w:r w:rsidR="00540755" w:rsidRPr="00022228">
        <w:rPr>
          <w:noProof/>
          <w:sz w:val="28"/>
          <w:szCs w:val="28"/>
        </w:rPr>
        <w:t>10</w:t>
      </w:r>
    </w:p>
    <w:p w:rsidR="00353087" w:rsidRDefault="00353087" w:rsidP="00353087">
      <w:pPr>
        <w:rPr>
          <w:bCs/>
          <w:sz w:val="32"/>
          <w:szCs w:val="32"/>
        </w:rPr>
      </w:pPr>
      <w:r w:rsidRPr="00022228">
        <w:rPr>
          <w:bCs/>
          <w:sz w:val="28"/>
          <w:szCs w:val="28"/>
        </w:rPr>
        <w:fldChar w:fldCharType="end"/>
      </w:r>
    </w:p>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353087" w:rsidRDefault="00353087" w:rsidP="00353087"/>
    <w:p w:rsidR="00E16006" w:rsidRDefault="00E16006" w:rsidP="00353087"/>
    <w:p w:rsidR="00353087" w:rsidRDefault="00353087" w:rsidP="00353087"/>
    <w:p w:rsidR="00E16006" w:rsidRDefault="00E16006" w:rsidP="00353087"/>
    <w:p w:rsidR="00E16006" w:rsidRDefault="00E16006" w:rsidP="00353087"/>
    <w:p w:rsidR="00353087" w:rsidRDefault="00353087" w:rsidP="00353087"/>
    <w:p w:rsidR="00546E1A" w:rsidRPr="00546E1A" w:rsidRDefault="00353087" w:rsidP="00546E1A">
      <w:pPr>
        <w:numPr>
          <w:ilvl w:val="0"/>
          <w:numId w:val="1"/>
        </w:numPr>
        <w:spacing w:line="360" w:lineRule="auto"/>
        <w:ind w:left="0" w:firstLine="709"/>
        <w:contextualSpacing/>
        <w:jc w:val="both"/>
        <w:outlineLvl w:val="0"/>
        <w:rPr>
          <w:rStyle w:val="30"/>
          <w:b/>
        </w:rPr>
      </w:pPr>
      <w:bookmarkStart w:id="3" w:name="_Toc501735899"/>
      <w:r w:rsidRPr="0053380A">
        <w:rPr>
          <w:b/>
          <w:bCs/>
          <w:sz w:val="28"/>
          <w:szCs w:val="28"/>
        </w:rPr>
        <w:t>Публикация статьи на тему: «</w:t>
      </w:r>
      <w:r>
        <w:rPr>
          <w:b/>
          <w:sz w:val="28"/>
          <w:szCs w:val="28"/>
        </w:rPr>
        <w:t xml:space="preserve">Финансовая устойчивость </w:t>
      </w:r>
      <w:r>
        <w:rPr>
          <w:b/>
          <w:sz w:val="28"/>
          <w:szCs w:val="28"/>
        </w:rPr>
        <w:lastRenderedPageBreak/>
        <w:t>корпоративных структур</w:t>
      </w:r>
      <w:r w:rsidRPr="0053380A">
        <w:rPr>
          <w:b/>
          <w:sz w:val="28"/>
          <w:szCs w:val="28"/>
        </w:rPr>
        <w:t xml:space="preserve">» в сборнике </w:t>
      </w:r>
      <w:r w:rsidRPr="0053380A">
        <w:rPr>
          <w:rStyle w:val="30"/>
          <w:b/>
        </w:rPr>
        <w:t>«ПРОБЛЕМЫ УПРАВЛЕНИЯ СОЦИАЛЬНО-ЭКОНОМИЧЕСКИМИ СИСТЕМАМИ: ТЕОРИЯ И ПРАКТИКА»</w:t>
      </w:r>
      <w:bookmarkEnd w:id="3"/>
    </w:p>
    <w:p w:rsidR="00546E1A" w:rsidRDefault="00546E1A" w:rsidP="00546E1A">
      <w:pPr>
        <w:spacing w:line="300" w:lineRule="auto"/>
        <w:ind w:firstLine="709"/>
        <w:rPr>
          <w:b/>
          <w:sz w:val="30"/>
          <w:szCs w:val="30"/>
        </w:rPr>
      </w:pPr>
      <w:r>
        <w:rPr>
          <w:b/>
          <w:sz w:val="30"/>
          <w:szCs w:val="30"/>
        </w:rPr>
        <w:t>Данилов С.А.</w:t>
      </w:r>
    </w:p>
    <w:p w:rsidR="00546E1A" w:rsidRDefault="00546E1A" w:rsidP="00546E1A">
      <w:pPr>
        <w:jc w:val="center"/>
        <w:rPr>
          <w:b/>
          <w:sz w:val="30"/>
          <w:szCs w:val="30"/>
        </w:rPr>
      </w:pPr>
      <w:r w:rsidRPr="004262BA">
        <w:rPr>
          <w:b/>
          <w:sz w:val="30"/>
          <w:szCs w:val="30"/>
        </w:rPr>
        <w:t>Финансовая устойчивость корпоративных структур</w:t>
      </w:r>
    </w:p>
    <w:p w:rsidR="00546E1A" w:rsidRPr="00546E1A" w:rsidRDefault="00546E1A" w:rsidP="00546E1A">
      <w:pPr>
        <w:spacing w:line="360" w:lineRule="auto"/>
        <w:contextualSpacing/>
        <w:jc w:val="both"/>
        <w:outlineLvl w:val="0"/>
        <w:rPr>
          <w:rStyle w:val="30"/>
          <w:b/>
        </w:rPr>
      </w:pPr>
    </w:p>
    <w:p w:rsidR="00540755" w:rsidRPr="00540755" w:rsidRDefault="00540755" w:rsidP="00540755">
      <w:pPr>
        <w:spacing w:line="360" w:lineRule="auto"/>
        <w:ind w:firstLine="709"/>
        <w:jc w:val="both"/>
        <w:rPr>
          <w:sz w:val="28"/>
          <w:szCs w:val="28"/>
        </w:rPr>
      </w:pPr>
      <w:r w:rsidRPr="00540755">
        <w:rPr>
          <w:sz w:val="28"/>
          <w:szCs w:val="28"/>
        </w:rPr>
        <w:t>В данной статье произведен анализ финансовой устойчивости корпоративных структур. Были рассчитаны различные коэффициенты финансовой устойчивости организации. Произведен расчет интегрального критерия финансовой устойчивости, и сделаны выводы.</w:t>
      </w:r>
    </w:p>
    <w:p w:rsidR="00540755" w:rsidRPr="00540755" w:rsidRDefault="00540755" w:rsidP="004B1398">
      <w:pPr>
        <w:spacing w:line="360" w:lineRule="auto"/>
        <w:ind w:firstLine="709"/>
        <w:jc w:val="both"/>
        <w:rPr>
          <w:sz w:val="28"/>
          <w:szCs w:val="28"/>
        </w:rPr>
      </w:pPr>
      <w:r w:rsidRPr="00540755">
        <w:rPr>
          <w:b/>
          <w:sz w:val="28"/>
          <w:szCs w:val="28"/>
        </w:rPr>
        <w:t xml:space="preserve">Ключевые слова: </w:t>
      </w:r>
      <w:r w:rsidRPr="00540755">
        <w:rPr>
          <w:sz w:val="28"/>
          <w:szCs w:val="28"/>
        </w:rPr>
        <w:t xml:space="preserve">корпорация, финансовая устойчивость, баланс, отчет о финансовых результатах, финансовые коэффициенты </w:t>
      </w:r>
    </w:p>
    <w:p w:rsidR="00540755" w:rsidRPr="00540755" w:rsidRDefault="00540755" w:rsidP="00540755">
      <w:pPr>
        <w:spacing w:line="360" w:lineRule="auto"/>
        <w:ind w:firstLine="709"/>
        <w:rPr>
          <w:b/>
          <w:sz w:val="28"/>
          <w:szCs w:val="28"/>
          <w:lang w:val="en-US"/>
        </w:rPr>
      </w:pPr>
      <w:r w:rsidRPr="00540755">
        <w:rPr>
          <w:b/>
          <w:sz w:val="28"/>
          <w:szCs w:val="28"/>
          <w:lang w:val="en-US"/>
        </w:rPr>
        <w:t>Danilov S.A.</w:t>
      </w:r>
    </w:p>
    <w:p w:rsidR="00540755" w:rsidRPr="00540755" w:rsidRDefault="00540755" w:rsidP="00540755">
      <w:pPr>
        <w:spacing w:line="360" w:lineRule="auto"/>
        <w:ind w:firstLine="709"/>
        <w:jc w:val="center"/>
        <w:rPr>
          <w:b/>
          <w:sz w:val="28"/>
          <w:szCs w:val="28"/>
          <w:lang w:val="en-US"/>
        </w:rPr>
      </w:pPr>
      <w:r w:rsidRPr="00540755">
        <w:rPr>
          <w:b/>
          <w:sz w:val="28"/>
          <w:szCs w:val="28"/>
          <w:lang w:val="en-US"/>
        </w:rPr>
        <w:t>The financial stability of corporate structures</w:t>
      </w:r>
    </w:p>
    <w:p w:rsidR="00540755" w:rsidRPr="00540755" w:rsidRDefault="00540755" w:rsidP="004B1398">
      <w:pPr>
        <w:spacing w:line="360" w:lineRule="auto"/>
        <w:ind w:firstLine="709"/>
        <w:jc w:val="both"/>
        <w:rPr>
          <w:color w:val="000000"/>
          <w:sz w:val="28"/>
          <w:szCs w:val="28"/>
          <w:shd w:val="clear" w:color="auto" w:fill="FFFFFF"/>
        </w:rPr>
      </w:pPr>
      <w:r w:rsidRPr="00540755">
        <w:rPr>
          <w:color w:val="000000"/>
          <w:sz w:val="28"/>
          <w:szCs w:val="28"/>
          <w:shd w:val="clear" w:color="auto" w:fill="FFFFFF"/>
          <w:lang w:val="en-US"/>
        </w:rPr>
        <w:t>This article analyzes the financial stability of corporate structures. There were calculated Various coefficients of financial stability of the organization. The integral criterion of financial stability is calculated, and conclusions are drawn.</w:t>
      </w:r>
      <w:r w:rsidRPr="00540755">
        <w:rPr>
          <w:rStyle w:val="apple-converted-space"/>
          <w:color w:val="000000"/>
          <w:sz w:val="28"/>
          <w:szCs w:val="28"/>
          <w:shd w:val="clear" w:color="auto" w:fill="FFFFFF"/>
          <w:lang w:val="en-US"/>
        </w:rPr>
        <w:t> </w:t>
      </w:r>
      <w:r w:rsidRPr="00540755">
        <w:rPr>
          <w:color w:val="000000"/>
          <w:sz w:val="28"/>
          <w:szCs w:val="28"/>
          <w:lang w:val="en-US"/>
        </w:rPr>
        <w:br/>
      </w:r>
      <w:r w:rsidRPr="00540755">
        <w:rPr>
          <w:b/>
          <w:color w:val="000000"/>
          <w:sz w:val="28"/>
          <w:szCs w:val="28"/>
          <w:shd w:val="clear" w:color="auto" w:fill="FFFFFF"/>
          <w:lang w:val="en-US"/>
        </w:rPr>
        <w:t xml:space="preserve">          Keywords</w:t>
      </w:r>
      <w:r w:rsidRPr="00540755">
        <w:rPr>
          <w:color w:val="000000"/>
          <w:sz w:val="28"/>
          <w:szCs w:val="28"/>
          <w:shd w:val="clear" w:color="auto" w:fill="FFFFFF"/>
        </w:rPr>
        <w:t xml:space="preserve">: </w:t>
      </w:r>
      <w:r w:rsidRPr="00540755">
        <w:rPr>
          <w:color w:val="000000"/>
          <w:sz w:val="28"/>
          <w:szCs w:val="28"/>
          <w:shd w:val="clear" w:color="auto" w:fill="FFFFFF"/>
          <w:lang w:val="en-US"/>
        </w:rPr>
        <w:t>corporation</w:t>
      </w:r>
      <w:r w:rsidRPr="00540755">
        <w:rPr>
          <w:color w:val="000000"/>
          <w:sz w:val="28"/>
          <w:szCs w:val="28"/>
          <w:shd w:val="clear" w:color="auto" w:fill="FFFFFF"/>
        </w:rPr>
        <w:t xml:space="preserve">, </w:t>
      </w:r>
      <w:r w:rsidRPr="00540755">
        <w:rPr>
          <w:color w:val="000000"/>
          <w:sz w:val="28"/>
          <w:szCs w:val="28"/>
          <w:shd w:val="clear" w:color="auto" w:fill="FFFFFF"/>
          <w:lang w:val="en-US"/>
        </w:rPr>
        <w:t>financial</w:t>
      </w:r>
      <w:r w:rsidRPr="00540755">
        <w:rPr>
          <w:color w:val="000000"/>
          <w:sz w:val="28"/>
          <w:szCs w:val="28"/>
          <w:shd w:val="clear" w:color="auto" w:fill="FFFFFF"/>
        </w:rPr>
        <w:t xml:space="preserve"> </w:t>
      </w:r>
      <w:r w:rsidRPr="00540755">
        <w:rPr>
          <w:color w:val="000000"/>
          <w:sz w:val="28"/>
          <w:szCs w:val="28"/>
          <w:shd w:val="clear" w:color="auto" w:fill="FFFFFF"/>
          <w:lang w:val="en-US"/>
        </w:rPr>
        <w:t>stability</w:t>
      </w:r>
      <w:r w:rsidRPr="00540755">
        <w:rPr>
          <w:color w:val="000000"/>
          <w:sz w:val="28"/>
          <w:szCs w:val="28"/>
          <w:shd w:val="clear" w:color="auto" w:fill="FFFFFF"/>
        </w:rPr>
        <w:t xml:space="preserve">, </w:t>
      </w:r>
      <w:r w:rsidRPr="00540755">
        <w:rPr>
          <w:color w:val="000000"/>
          <w:sz w:val="28"/>
          <w:szCs w:val="28"/>
          <w:shd w:val="clear" w:color="auto" w:fill="FFFFFF"/>
          <w:lang w:val="en-US"/>
        </w:rPr>
        <w:t>balance</w:t>
      </w:r>
      <w:r w:rsidRPr="00540755">
        <w:rPr>
          <w:color w:val="000000"/>
          <w:sz w:val="28"/>
          <w:szCs w:val="28"/>
          <w:shd w:val="clear" w:color="auto" w:fill="FFFFFF"/>
        </w:rPr>
        <w:t xml:space="preserve">, </w:t>
      </w:r>
      <w:r w:rsidRPr="00540755">
        <w:rPr>
          <w:color w:val="000000"/>
          <w:sz w:val="28"/>
          <w:szCs w:val="28"/>
          <w:shd w:val="clear" w:color="auto" w:fill="FFFFFF"/>
          <w:lang w:val="en-US"/>
        </w:rPr>
        <w:t>income</w:t>
      </w:r>
      <w:r w:rsidRPr="00540755">
        <w:rPr>
          <w:color w:val="000000"/>
          <w:sz w:val="28"/>
          <w:szCs w:val="28"/>
          <w:shd w:val="clear" w:color="auto" w:fill="FFFFFF"/>
        </w:rPr>
        <w:t xml:space="preserve"> </w:t>
      </w:r>
      <w:r w:rsidRPr="00540755">
        <w:rPr>
          <w:color w:val="000000"/>
          <w:sz w:val="28"/>
          <w:szCs w:val="28"/>
          <w:shd w:val="clear" w:color="auto" w:fill="FFFFFF"/>
          <w:lang w:val="en-US"/>
        </w:rPr>
        <w:t>statement</w:t>
      </w:r>
      <w:r w:rsidRPr="00540755">
        <w:rPr>
          <w:color w:val="000000"/>
          <w:sz w:val="28"/>
          <w:szCs w:val="28"/>
          <w:shd w:val="clear" w:color="auto" w:fill="FFFFFF"/>
        </w:rPr>
        <w:t xml:space="preserve">, </w:t>
      </w:r>
      <w:r w:rsidRPr="00540755">
        <w:rPr>
          <w:color w:val="000000"/>
          <w:sz w:val="28"/>
          <w:szCs w:val="28"/>
          <w:shd w:val="clear" w:color="auto" w:fill="FFFFFF"/>
          <w:lang w:val="en-US"/>
        </w:rPr>
        <w:t>Financial</w:t>
      </w:r>
      <w:r w:rsidRPr="00540755">
        <w:rPr>
          <w:color w:val="000000"/>
          <w:sz w:val="28"/>
          <w:szCs w:val="28"/>
          <w:shd w:val="clear" w:color="auto" w:fill="FFFFFF"/>
        </w:rPr>
        <w:t xml:space="preserve"> </w:t>
      </w:r>
      <w:r w:rsidRPr="00540755">
        <w:rPr>
          <w:color w:val="000000"/>
          <w:sz w:val="28"/>
          <w:szCs w:val="28"/>
          <w:shd w:val="clear" w:color="auto" w:fill="FFFFFF"/>
          <w:lang w:val="en-US"/>
        </w:rPr>
        <w:t>ratios</w:t>
      </w:r>
    </w:p>
    <w:p w:rsidR="00540755" w:rsidRPr="00540755" w:rsidRDefault="00540755" w:rsidP="00540755">
      <w:pPr>
        <w:spacing w:line="360" w:lineRule="auto"/>
        <w:ind w:firstLine="709"/>
        <w:jc w:val="both"/>
        <w:rPr>
          <w:sz w:val="28"/>
          <w:szCs w:val="28"/>
        </w:rPr>
      </w:pPr>
      <w:r w:rsidRPr="00540755">
        <w:rPr>
          <w:bCs/>
          <w:sz w:val="28"/>
          <w:szCs w:val="28"/>
        </w:rPr>
        <w:t>Понятие «корпорация» можно</w:t>
      </w:r>
      <w:r w:rsidRPr="00540755">
        <w:rPr>
          <w:sz w:val="28"/>
          <w:szCs w:val="28"/>
          <w:lang w:val="en-US"/>
        </w:rPr>
        <w:t> </w:t>
      </w:r>
      <w:r w:rsidRPr="00540755">
        <w:rPr>
          <w:sz w:val="28"/>
          <w:szCs w:val="28"/>
        </w:rPr>
        <w:t>трактовать как широко распростра</w:t>
      </w:r>
      <w:r w:rsidRPr="00540755">
        <w:rPr>
          <w:sz w:val="28"/>
          <w:szCs w:val="28"/>
        </w:rPr>
        <w:softHyphen/>
        <w:t xml:space="preserve">ненная в развитых странах форма организации предпринимательской деятельности, которая предусматривает </w:t>
      </w:r>
      <w:proofErr w:type="gramStart"/>
      <w:r w:rsidRPr="00540755">
        <w:rPr>
          <w:sz w:val="28"/>
          <w:szCs w:val="28"/>
        </w:rPr>
        <w:t>также  долевую</w:t>
      </w:r>
      <w:proofErr w:type="gramEnd"/>
      <w:r w:rsidRPr="00540755">
        <w:rPr>
          <w:sz w:val="28"/>
          <w:szCs w:val="28"/>
        </w:rPr>
        <w:t xml:space="preserve"> собствен</w:t>
      </w:r>
      <w:r w:rsidRPr="00540755">
        <w:rPr>
          <w:sz w:val="28"/>
          <w:szCs w:val="28"/>
        </w:rPr>
        <w:softHyphen/>
        <w:t>ность, юридический статус, сосредоточение функций управления в руках профессиональных управляющих (менеджеров), которые работают по найму.</w:t>
      </w:r>
    </w:p>
    <w:p w:rsidR="00540755" w:rsidRPr="00540755" w:rsidRDefault="00540755" w:rsidP="00540755">
      <w:pPr>
        <w:spacing w:line="360" w:lineRule="auto"/>
        <w:ind w:firstLine="709"/>
        <w:jc w:val="both"/>
        <w:rPr>
          <w:sz w:val="28"/>
          <w:szCs w:val="28"/>
        </w:rPr>
      </w:pPr>
      <w:r w:rsidRPr="00540755">
        <w:rPr>
          <w:bCs/>
          <w:sz w:val="28"/>
          <w:szCs w:val="28"/>
        </w:rPr>
        <w:t>В основе построения экономического управления корпорацией лежат два принципа:</w:t>
      </w:r>
    </w:p>
    <w:p w:rsidR="00540755" w:rsidRPr="00540755" w:rsidRDefault="00540755" w:rsidP="00540755">
      <w:pPr>
        <w:widowControl/>
        <w:numPr>
          <w:ilvl w:val="0"/>
          <w:numId w:val="3"/>
        </w:numPr>
        <w:autoSpaceDE/>
        <w:autoSpaceDN/>
        <w:adjustRightInd/>
        <w:spacing w:line="360" w:lineRule="auto"/>
        <w:ind w:left="357" w:firstLine="709"/>
        <w:jc w:val="both"/>
        <w:rPr>
          <w:sz w:val="28"/>
          <w:szCs w:val="28"/>
        </w:rPr>
      </w:pPr>
      <w:r w:rsidRPr="00540755">
        <w:rPr>
          <w:bCs/>
          <w:sz w:val="28"/>
          <w:szCs w:val="28"/>
        </w:rPr>
        <w:t>корпоративная структура представляет</w:t>
      </w:r>
      <w:r w:rsidRPr="00540755">
        <w:rPr>
          <w:sz w:val="28"/>
          <w:szCs w:val="28"/>
        </w:rPr>
        <w:t xml:space="preserve"> собой объединение индивидуальных капиталов в единой целостной системе корпоративного капитала. Это позволяет рассматривать экономические решения с точки </w:t>
      </w:r>
      <w:r w:rsidRPr="00540755">
        <w:rPr>
          <w:sz w:val="28"/>
          <w:szCs w:val="28"/>
        </w:rPr>
        <w:lastRenderedPageBreak/>
        <w:t>зрения капитализации корпорации, т.е. оценки капитала с точки зрения будущих доходов и степени устойчивости ее получения;</w:t>
      </w:r>
    </w:p>
    <w:p w:rsidR="00540755" w:rsidRPr="00540755" w:rsidRDefault="00540755" w:rsidP="00540755">
      <w:pPr>
        <w:widowControl/>
        <w:numPr>
          <w:ilvl w:val="0"/>
          <w:numId w:val="3"/>
        </w:numPr>
        <w:autoSpaceDE/>
        <w:autoSpaceDN/>
        <w:adjustRightInd/>
        <w:spacing w:line="360" w:lineRule="auto"/>
        <w:ind w:left="357" w:firstLine="709"/>
        <w:jc w:val="both"/>
        <w:rPr>
          <w:sz w:val="28"/>
          <w:szCs w:val="28"/>
        </w:rPr>
      </w:pPr>
      <w:r w:rsidRPr="00540755">
        <w:rPr>
          <w:bCs/>
          <w:sz w:val="28"/>
          <w:szCs w:val="28"/>
        </w:rPr>
        <w:t>корпоративная структура выступает</w:t>
      </w:r>
      <w:r w:rsidRPr="00540755">
        <w:rPr>
          <w:sz w:val="28"/>
          <w:szCs w:val="28"/>
        </w:rPr>
        <w:t xml:space="preserve"> как особая внутренняя организация, развивающаяся по своей логике и своим законам, что определяет специфику экономических отношений участников.</w:t>
      </w:r>
    </w:p>
    <w:p w:rsidR="00540755" w:rsidRPr="00540755" w:rsidRDefault="00540755" w:rsidP="00540755">
      <w:pPr>
        <w:spacing w:line="360" w:lineRule="auto"/>
        <w:ind w:firstLine="709"/>
        <w:jc w:val="both"/>
        <w:rPr>
          <w:sz w:val="28"/>
          <w:szCs w:val="28"/>
        </w:rPr>
      </w:pPr>
      <w:r w:rsidRPr="00540755">
        <w:rPr>
          <w:sz w:val="28"/>
          <w:szCs w:val="28"/>
        </w:rPr>
        <w:t xml:space="preserve">Одним из основных факторов, обеспечивающих стабильность любой организации, является его финансовая устойчивость. Осуществляя финансовую оценку, делаются выводы о кредитоспособности предприятия, о его инвестиционной привлекательности. Финансовая устойчивость </w:t>
      </w:r>
      <w:proofErr w:type="gramStart"/>
      <w:r w:rsidRPr="00540755">
        <w:rPr>
          <w:sz w:val="28"/>
          <w:szCs w:val="28"/>
        </w:rPr>
        <w:t>организации  зависит</w:t>
      </w:r>
      <w:proofErr w:type="gramEnd"/>
      <w:r w:rsidRPr="00540755">
        <w:rPr>
          <w:sz w:val="28"/>
          <w:szCs w:val="28"/>
        </w:rPr>
        <w:t xml:space="preserve"> от результатов ее деятельности, стабильности экономической среды, а также от эффективности реагирования на изменения внешних и внутренних факторов.</w:t>
      </w:r>
    </w:p>
    <w:p w:rsidR="00540755" w:rsidRPr="00540755" w:rsidRDefault="00540755" w:rsidP="00540755">
      <w:pPr>
        <w:spacing w:line="360" w:lineRule="auto"/>
        <w:ind w:firstLine="709"/>
        <w:jc w:val="both"/>
        <w:rPr>
          <w:sz w:val="28"/>
          <w:szCs w:val="28"/>
        </w:rPr>
      </w:pPr>
      <w:r w:rsidRPr="00540755">
        <w:rPr>
          <w:sz w:val="28"/>
          <w:szCs w:val="28"/>
        </w:rPr>
        <w:t xml:space="preserve">Так что же такое финансовая устойчивость? По мнению И.Т. Балабанова, финансово устойчивым считается такое предприятие, которое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 </w:t>
      </w:r>
    </w:p>
    <w:p w:rsidR="00540755" w:rsidRPr="00540755" w:rsidRDefault="00540755" w:rsidP="00540755">
      <w:pPr>
        <w:spacing w:line="360" w:lineRule="auto"/>
        <w:ind w:firstLine="709"/>
        <w:jc w:val="both"/>
        <w:rPr>
          <w:sz w:val="28"/>
          <w:szCs w:val="28"/>
        </w:rPr>
      </w:pPr>
      <w:r w:rsidRPr="00540755">
        <w:rPr>
          <w:sz w:val="28"/>
          <w:szCs w:val="28"/>
        </w:rPr>
        <w:t>Финансовая устойчивость – это такое состояние счетов организации, которое гарантирует ее постоянную платежеспособность. В результате деятельности предприятия, его финансовое состояние может, как находится на неизменном уровне, так и улучшаться, или ухудшаться. Финансовая устойчивость предприятия зависит от его финансовой, производственной и коммерческой деятельности. Оно является итогом умелого управления всеми факторами, которые определяют результаты хозяйственной деятельности организации.</w:t>
      </w:r>
    </w:p>
    <w:p w:rsidR="00540755" w:rsidRPr="00540755" w:rsidRDefault="00540755" w:rsidP="00540755">
      <w:pPr>
        <w:spacing w:line="360" w:lineRule="auto"/>
        <w:ind w:firstLine="709"/>
        <w:jc w:val="both"/>
        <w:rPr>
          <w:sz w:val="28"/>
          <w:szCs w:val="28"/>
        </w:rPr>
      </w:pPr>
      <w:r w:rsidRPr="00540755">
        <w:rPr>
          <w:sz w:val="28"/>
          <w:szCs w:val="28"/>
        </w:rPr>
        <w:t xml:space="preserve">Существует множество факторов, которые влияют на финансовую устойчивость. Все эти факторы можно разделить на внутренние, которые зависят от работы самого предприятия, и внешние, на </w:t>
      </w:r>
      <w:proofErr w:type="gramStart"/>
      <w:r w:rsidRPr="00540755">
        <w:rPr>
          <w:sz w:val="28"/>
          <w:szCs w:val="28"/>
        </w:rPr>
        <w:t>которые  организация</w:t>
      </w:r>
      <w:proofErr w:type="gramEnd"/>
      <w:r w:rsidRPr="00540755">
        <w:rPr>
          <w:sz w:val="28"/>
          <w:szCs w:val="28"/>
        </w:rPr>
        <w:t xml:space="preserve"> не может оказать воздействие. В большинстве случаев, наибольшие влияния </w:t>
      </w:r>
      <w:r w:rsidRPr="00540755">
        <w:rPr>
          <w:sz w:val="28"/>
          <w:szCs w:val="28"/>
        </w:rPr>
        <w:lastRenderedPageBreak/>
        <w:t>на деятельность организация оказывают внутренние факторы.</w:t>
      </w:r>
    </w:p>
    <w:p w:rsidR="00540755" w:rsidRPr="00540755" w:rsidRDefault="00540755" w:rsidP="00540755">
      <w:pPr>
        <w:spacing w:line="360" w:lineRule="auto"/>
        <w:ind w:firstLine="709"/>
        <w:jc w:val="both"/>
        <w:rPr>
          <w:sz w:val="28"/>
          <w:szCs w:val="28"/>
        </w:rPr>
      </w:pPr>
    </w:p>
    <w:p w:rsidR="00540755" w:rsidRPr="00540755" w:rsidRDefault="00540755" w:rsidP="00540755">
      <w:pPr>
        <w:spacing w:line="360" w:lineRule="auto"/>
        <w:jc w:val="both"/>
        <w:rPr>
          <w:sz w:val="28"/>
          <w:szCs w:val="28"/>
        </w:rPr>
      </w:pPr>
      <w:r w:rsidRPr="00540755">
        <w:rPr>
          <w:sz w:val="28"/>
          <w:szCs w:val="28"/>
        </w:rPr>
        <w:t>Таблица 1. Факторы, влияющие на финансовую устойчивость корпоративных структур</w:t>
      </w:r>
    </w:p>
    <w:tbl>
      <w:tblPr>
        <w:tblStyle w:val="a7"/>
        <w:tblW w:w="0" w:type="auto"/>
        <w:tblLook w:val="04A0" w:firstRow="1" w:lastRow="0" w:firstColumn="1" w:lastColumn="0" w:noHBand="0" w:noVBand="1"/>
      </w:tblPr>
      <w:tblGrid>
        <w:gridCol w:w="4673"/>
        <w:gridCol w:w="4672"/>
      </w:tblGrid>
      <w:tr w:rsidR="00540755" w:rsidTr="0089194C">
        <w:tc>
          <w:tcPr>
            <w:tcW w:w="9571" w:type="dxa"/>
            <w:gridSpan w:val="2"/>
          </w:tcPr>
          <w:p w:rsidR="00540755" w:rsidRPr="00321232" w:rsidRDefault="00540755" w:rsidP="0089194C">
            <w:pPr>
              <w:jc w:val="center"/>
              <w:rPr>
                <w:sz w:val="24"/>
                <w:szCs w:val="24"/>
              </w:rPr>
            </w:pPr>
            <w:r w:rsidRPr="00321232">
              <w:rPr>
                <w:sz w:val="24"/>
                <w:szCs w:val="24"/>
              </w:rPr>
              <w:t>Факторы</w:t>
            </w:r>
          </w:p>
        </w:tc>
      </w:tr>
      <w:tr w:rsidR="00540755" w:rsidTr="0089194C">
        <w:tc>
          <w:tcPr>
            <w:tcW w:w="4785" w:type="dxa"/>
          </w:tcPr>
          <w:p w:rsidR="00540755" w:rsidRPr="00321232" w:rsidRDefault="00540755" w:rsidP="0089194C">
            <w:pPr>
              <w:jc w:val="center"/>
              <w:rPr>
                <w:sz w:val="24"/>
                <w:szCs w:val="24"/>
              </w:rPr>
            </w:pPr>
            <w:r w:rsidRPr="00321232">
              <w:rPr>
                <w:sz w:val="24"/>
                <w:szCs w:val="24"/>
              </w:rPr>
              <w:t>Внутренние</w:t>
            </w:r>
          </w:p>
        </w:tc>
        <w:tc>
          <w:tcPr>
            <w:tcW w:w="4786" w:type="dxa"/>
          </w:tcPr>
          <w:p w:rsidR="00540755" w:rsidRPr="00321232" w:rsidRDefault="00540755" w:rsidP="0089194C">
            <w:pPr>
              <w:jc w:val="center"/>
              <w:rPr>
                <w:sz w:val="24"/>
                <w:szCs w:val="24"/>
              </w:rPr>
            </w:pPr>
            <w:r w:rsidRPr="00321232">
              <w:rPr>
                <w:sz w:val="24"/>
                <w:szCs w:val="24"/>
              </w:rPr>
              <w:t>Внешние</w:t>
            </w:r>
          </w:p>
        </w:tc>
      </w:tr>
      <w:tr w:rsidR="00540755" w:rsidTr="0089194C">
        <w:tc>
          <w:tcPr>
            <w:tcW w:w="4785" w:type="dxa"/>
          </w:tcPr>
          <w:p w:rsidR="00540755" w:rsidRPr="00321232" w:rsidRDefault="00540755" w:rsidP="0089194C">
            <w:pPr>
              <w:jc w:val="both"/>
              <w:rPr>
                <w:sz w:val="24"/>
                <w:szCs w:val="24"/>
              </w:rPr>
            </w:pPr>
            <w:r w:rsidRPr="00321232">
              <w:rPr>
                <w:sz w:val="24"/>
                <w:szCs w:val="24"/>
              </w:rPr>
              <w:t xml:space="preserve">Отраслевая принадлежность субъекта хозяйствования </w:t>
            </w:r>
          </w:p>
        </w:tc>
        <w:tc>
          <w:tcPr>
            <w:tcW w:w="4786" w:type="dxa"/>
          </w:tcPr>
          <w:p w:rsidR="00540755" w:rsidRPr="00321232" w:rsidRDefault="00540755" w:rsidP="0089194C">
            <w:pPr>
              <w:jc w:val="both"/>
              <w:rPr>
                <w:sz w:val="24"/>
                <w:szCs w:val="24"/>
              </w:rPr>
            </w:pPr>
            <w:r w:rsidRPr="00321232">
              <w:rPr>
                <w:sz w:val="24"/>
                <w:szCs w:val="24"/>
              </w:rPr>
              <w:t>Общая стабильность, фаза экономического цикла</w:t>
            </w:r>
          </w:p>
        </w:tc>
      </w:tr>
      <w:tr w:rsidR="00540755" w:rsidTr="0089194C">
        <w:tc>
          <w:tcPr>
            <w:tcW w:w="4785" w:type="dxa"/>
          </w:tcPr>
          <w:p w:rsidR="00540755" w:rsidRPr="00321232" w:rsidRDefault="00540755" w:rsidP="0089194C">
            <w:pPr>
              <w:jc w:val="both"/>
              <w:rPr>
                <w:sz w:val="24"/>
                <w:szCs w:val="24"/>
              </w:rPr>
            </w:pPr>
            <w:r w:rsidRPr="00321232">
              <w:rPr>
                <w:sz w:val="24"/>
                <w:szCs w:val="24"/>
              </w:rPr>
              <w:t>Структура услуг, их доля в платежном спросе</w:t>
            </w:r>
          </w:p>
        </w:tc>
        <w:tc>
          <w:tcPr>
            <w:tcW w:w="4786" w:type="dxa"/>
          </w:tcPr>
          <w:p w:rsidR="00540755" w:rsidRPr="00321232" w:rsidRDefault="00540755" w:rsidP="0089194C">
            <w:pPr>
              <w:jc w:val="both"/>
              <w:rPr>
                <w:sz w:val="24"/>
                <w:szCs w:val="24"/>
              </w:rPr>
            </w:pPr>
            <w:r w:rsidRPr="00321232">
              <w:rPr>
                <w:sz w:val="24"/>
                <w:szCs w:val="24"/>
              </w:rPr>
              <w:t>Динамика, уровень, колебания платежного спроса</w:t>
            </w:r>
          </w:p>
        </w:tc>
      </w:tr>
      <w:tr w:rsidR="00540755" w:rsidTr="0089194C">
        <w:tc>
          <w:tcPr>
            <w:tcW w:w="4785" w:type="dxa"/>
          </w:tcPr>
          <w:p w:rsidR="00540755" w:rsidRPr="00321232" w:rsidRDefault="00540755" w:rsidP="0089194C">
            <w:pPr>
              <w:jc w:val="both"/>
              <w:rPr>
                <w:sz w:val="24"/>
                <w:szCs w:val="24"/>
              </w:rPr>
            </w:pPr>
            <w:r w:rsidRPr="00321232">
              <w:rPr>
                <w:sz w:val="24"/>
                <w:szCs w:val="24"/>
              </w:rPr>
              <w:t>Состояние имущества: состав, размер, структура</w:t>
            </w:r>
          </w:p>
        </w:tc>
        <w:tc>
          <w:tcPr>
            <w:tcW w:w="4786" w:type="dxa"/>
          </w:tcPr>
          <w:p w:rsidR="00540755" w:rsidRPr="00321232" w:rsidRDefault="00540755" w:rsidP="0089194C">
            <w:pPr>
              <w:jc w:val="both"/>
              <w:rPr>
                <w:sz w:val="24"/>
                <w:szCs w:val="24"/>
              </w:rPr>
            </w:pPr>
            <w:r w:rsidRPr="00321232">
              <w:rPr>
                <w:sz w:val="24"/>
                <w:szCs w:val="24"/>
              </w:rPr>
              <w:t>Конкуренция на рынке</w:t>
            </w:r>
          </w:p>
        </w:tc>
      </w:tr>
      <w:tr w:rsidR="00540755" w:rsidTr="0089194C">
        <w:tc>
          <w:tcPr>
            <w:tcW w:w="4785" w:type="dxa"/>
          </w:tcPr>
          <w:p w:rsidR="00540755" w:rsidRPr="00321232" w:rsidRDefault="00540755" w:rsidP="0089194C">
            <w:pPr>
              <w:jc w:val="both"/>
              <w:rPr>
                <w:sz w:val="24"/>
                <w:szCs w:val="24"/>
              </w:rPr>
            </w:pPr>
            <w:r w:rsidRPr="00321232">
              <w:rPr>
                <w:sz w:val="24"/>
                <w:szCs w:val="24"/>
              </w:rPr>
              <w:t>Состояние финансовых ресурсов: размер, структура, состав</w:t>
            </w:r>
          </w:p>
        </w:tc>
        <w:tc>
          <w:tcPr>
            <w:tcW w:w="4786" w:type="dxa"/>
          </w:tcPr>
          <w:p w:rsidR="00540755" w:rsidRPr="00321232" w:rsidRDefault="00540755" w:rsidP="0089194C">
            <w:pPr>
              <w:jc w:val="both"/>
              <w:rPr>
                <w:sz w:val="24"/>
                <w:szCs w:val="24"/>
              </w:rPr>
            </w:pPr>
            <w:r w:rsidRPr="00321232">
              <w:rPr>
                <w:sz w:val="24"/>
                <w:szCs w:val="24"/>
              </w:rPr>
              <w:t>Банкротство должников, неплатежи</w:t>
            </w:r>
          </w:p>
        </w:tc>
      </w:tr>
      <w:tr w:rsidR="00540755" w:rsidTr="0089194C">
        <w:tc>
          <w:tcPr>
            <w:tcW w:w="4785" w:type="dxa"/>
          </w:tcPr>
          <w:p w:rsidR="00540755" w:rsidRPr="00321232" w:rsidRDefault="00540755" w:rsidP="0089194C">
            <w:pPr>
              <w:jc w:val="both"/>
              <w:rPr>
                <w:sz w:val="24"/>
                <w:szCs w:val="24"/>
              </w:rPr>
            </w:pPr>
            <w:r w:rsidRPr="00321232">
              <w:rPr>
                <w:sz w:val="24"/>
                <w:szCs w:val="24"/>
              </w:rPr>
              <w:t>Структура, динамика, величина издержек по сравнению с доходами</w:t>
            </w:r>
          </w:p>
        </w:tc>
        <w:tc>
          <w:tcPr>
            <w:tcW w:w="4786" w:type="dxa"/>
          </w:tcPr>
          <w:p w:rsidR="00540755" w:rsidRPr="00321232" w:rsidRDefault="00540755" w:rsidP="0089194C">
            <w:pPr>
              <w:jc w:val="both"/>
              <w:rPr>
                <w:sz w:val="24"/>
                <w:szCs w:val="24"/>
              </w:rPr>
            </w:pPr>
            <w:r w:rsidRPr="00321232">
              <w:rPr>
                <w:sz w:val="24"/>
                <w:szCs w:val="24"/>
              </w:rPr>
              <w:t>Изменение курса валют, уровня цен, инфляция</w:t>
            </w:r>
          </w:p>
        </w:tc>
      </w:tr>
      <w:tr w:rsidR="00540755" w:rsidTr="0089194C">
        <w:tc>
          <w:tcPr>
            <w:tcW w:w="4785" w:type="dxa"/>
          </w:tcPr>
          <w:p w:rsidR="00540755" w:rsidRPr="00321232" w:rsidRDefault="00540755" w:rsidP="0089194C">
            <w:pPr>
              <w:jc w:val="both"/>
              <w:rPr>
                <w:sz w:val="24"/>
                <w:szCs w:val="24"/>
              </w:rPr>
            </w:pPr>
            <w:r w:rsidRPr="00321232">
              <w:rPr>
                <w:sz w:val="24"/>
                <w:szCs w:val="24"/>
              </w:rPr>
              <w:t>Размер уставного капитала, собственные оборотные средства</w:t>
            </w:r>
          </w:p>
        </w:tc>
        <w:tc>
          <w:tcPr>
            <w:tcW w:w="4786" w:type="dxa"/>
          </w:tcPr>
          <w:p w:rsidR="00540755" w:rsidRPr="00321232" w:rsidRDefault="00540755" w:rsidP="0089194C">
            <w:pPr>
              <w:jc w:val="both"/>
              <w:rPr>
                <w:sz w:val="24"/>
                <w:szCs w:val="24"/>
              </w:rPr>
            </w:pPr>
            <w:proofErr w:type="spellStart"/>
            <w:r w:rsidRPr="00321232">
              <w:rPr>
                <w:sz w:val="24"/>
                <w:szCs w:val="24"/>
              </w:rPr>
              <w:t>Кредитно</w:t>
            </w:r>
            <w:proofErr w:type="spellEnd"/>
            <w:r w:rsidRPr="00321232">
              <w:rPr>
                <w:sz w:val="24"/>
                <w:szCs w:val="24"/>
              </w:rPr>
              <w:t xml:space="preserve"> финансовая, учетная, налоговая политика</w:t>
            </w:r>
            <w:r>
              <w:rPr>
                <w:sz w:val="24"/>
                <w:szCs w:val="24"/>
              </w:rPr>
              <w:t xml:space="preserve"> государства</w:t>
            </w:r>
          </w:p>
        </w:tc>
      </w:tr>
    </w:tbl>
    <w:p w:rsidR="00540755" w:rsidRPr="00D02241" w:rsidRDefault="00540755" w:rsidP="00540755">
      <w:pPr>
        <w:jc w:val="both"/>
        <w:rPr>
          <w:sz w:val="24"/>
          <w:szCs w:val="24"/>
        </w:rPr>
      </w:pPr>
      <w:r w:rsidRPr="00D02241">
        <w:rPr>
          <w:sz w:val="24"/>
          <w:szCs w:val="24"/>
        </w:rPr>
        <w:t>Источник: составлено автором</w:t>
      </w:r>
    </w:p>
    <w:p w:rsidR="00540755" w:rsidRPr="00540755" w:rsidRDefault="00540755" w:rsidP="00540755">
      <w:pPr>
        <w:spacing w:line="360" w:lineRule="auto"/>
        <w:ind w:firstLine="709"/>
        <w:jc w:val="both"/>
        <w:rPr>
          <w:sz w:val="28"/>
          <w:szCs w:val="28"/>
        </w:rPr>
      </w:pPr>
      <w:r w:rsidRPr="00540755">
        <w:rPr>
          <w:sz w:val="28"/>
          <w:szCs w:val="28"/>
        </w:rPr>
        <w:t>Для того чтобы определить является ли организация независимой с финансовой точки зрения, растет или же снижается уровень этой независимости, проводят анализ финансовой устойчивости, а именно оценку величины пассивов и активов.</w:t>
      </w:r>
    </w:p>
    <w:p w:rsidR="00540755" w:rsidRPr="00540755" w:rsidRDefault="00540755" w:rsidP="00540755">
      <w:pPr>
        <w:spacing w:line="360" w:lineRule="auto"/>
        <w:ind w:firstLine="709"/>
        <w:jc w:val="both"/>
        <w:rPr>
          <w:sz w:val="28"/>
          <w:szCs w:val="28"/>
        </w:rPr>
      </w:pPr>
      <w:r w:rsidRPr="00540755">
        <w:rPr>
          <w:sz w:val="28"/>
          <w:szCs w:val="28"/>
        </w:rPr>
        <w:t xml:space="preserve">Важно отметить, что финансовая устойчивость организации анализируется исходя из основной отчётной формы – Баланса активов и пассивов   и следующим за ним не менее значимым – </w:t>
      </w:r>
      <w:proofErr w:type="gramStart"/>
      <w:r w:rsidRPr="00540755">
        <w:rPr>
          <w:sz w:val="28"/>
          <w:szCs w:val="28"/>
        </w:rPr>
        <w:t>Отчётом  о</w:t>
      </w:r>
      <w:proofErr w:type="gramEnd"/>
      <w:r w:rsidRPr="00540755">
        <w:rPr>
          <w:sz w:val="28"/>
          <w:szCs w:val="28"/>
        </w:rPr>
        <w:t xml:space="preserve"> финансовых результатах.</w:t>
      </w:r>
    </w:p>
    <w:p w:rsidR="00540755" w:rsidRPr="00540755" w:rsidRDefault="00540755" w:rsidP="00540755">
      <w:pPr>
        <w:spacing w:line="360" w:lineRule="auto"/>
        <w:ind w:firstLine="709"/>
        <w:jc w:val="both"/>
        <w:rPr>
          <w:sz w:val="28"/>
          <w:szCs w:val="28"/>
        </w:rPr>
      </w:pPr>
      <w:r w:rsidRPr="00540755">
        <w:rPr>
          <w:sz w:val="28"/>
          <w:szCs w:val="28"/>
        </w:rPr>
        <w:t>В общем виде, организацию можно признать финансово устойчивой, если будет выполнятся следующие неравенство:</w:t>
      </w:r>
    </w:p>
    <w:p w:rsidR="00540755" w:rsidRPr="00540755" w:rsidRDefault="00540755" w:rsidP="00540755">
      <w:pPr>
        <w:pStyle w:val="a8"/>
        <w:shd w:val="clear" w:color="auto" w:fill="FFFFFF"/>
        <w:spacing w:before="0" w:beforeAutospacing="0" w:after="0" w:afterAutospacing="0" w:line="360" w:lineRule="auto"/>
        <w:rPr>
          <w:color w:val="222222"/>
          <w:sz w:val="28"/>
          <w:szCs w:val="28"/>
        </w:rPr>
      </w:pPr>
      <w:r w:rsidRPr="00540755">
        <w:rPr>
          <w:rStyle w:val="a9"/>
          <w:color w:val="222222"/>
          <w:sz w:val="28"/>
          <w:szCs w:val="28"/>
        </w:rPr>
        <w:t xml:space="preserve">Оборотные активы </w:t>
      </w:r>
      <w:proofErr w:type="gramStart"/>
      <w:r w:rsidRPr="00540755">
        <w:rPr>
          <w:rStyle w:val="a9"/>
          <w:color w:val="222222"/>
          <w:sz w:val="28"/>
          <w:szCs w:val="28"/>
        </w:rPr>
        <w:t>&lt; Собственный</w:t>
      </w:r>
      <w:proofErr w:type="gramEnd"/>
      <w:r w:rsidRPr="00540755">
        <w:rPr>
          <w:rStyle w:val="a9"/>
          <w:color w:val="222222"/>
          <w:sz w:val="28"/>
          <w:szCs w:val="28"/>
        </w:rPr>
        <w:t xml:space="preserve"> капитал – Внеоборотные активы.</w:t>
      </w:r>
    </w:p>
    <w:p w:rsidR="00540755" w:rsidRPr="00540755" w:rsidRDefault="00540755" w:rsidP="00540755">
      <w:pPr>
        <w:spacing w:line="360" w:lineRule="auto"/>
        <w:ind w:firstLine="709"/>
        <w:jc w:val="both"/>
        <w:rPr>
          <w:sz w:val="28"/>
          <w:szCs w:val="28"/>
        </w:rPr>
      </w:pPr>
      <w:r w:rsidRPr="00540755">
        <w:rPr>
          <w:sz w:val="28"/>
          <w:szCs w:val="28"/>
        </w:rPr>
        <w:t>Для того, чтобы оценить уровень финансовой устойчивости компании применяют множество финансовых коэффициентов, которые показывают уровень финансовой устойчивости, но не могут ответить на вопрос, достаточен ли этот уровень.</w:t>
      </w:r>
    </w:p>
    <w:p w:rsidR="00540755" w:rsidRPr="00540755" w:rsidRDefault="00540755" w:rsidP="00540755">
      <w:pPr>
        <w:spacing w:line="360" w:lineRule="auto"/>
        <w:ind w:firstLine="709"/>
        <w:jc w:val="both"/>
        <w:rPr>
          <w:sz w:val="28"/>
          <w:szCs w:val="28"/>
        </w:rPr>
      </w:pPr>
      <w:r w:rsidRPr="00540755">
        <w:rPr>
          <w:sz w:val="28"/>
          <w:szCs w:val="28"/>
        </w:rPr>
        <w:t xml:space="preserve">Расчет коэффициентов производится по показателям фактического или планового баланса. Их уровень может служить отправной точкой для оценки </w:t>
      </w:r>
      <w:r w:rsidRPr="00540755">
        <w:rPr>
          <w:sz w:val="28"/>
          <w:szCs w:val="28"/>
        </w:rPr>
        <w:lastRenderedPageBreak/>
        <w:t>финансовой устойчивости компании, но нужно отметить, что всей полноты картины они дать не могут. На практике применяют разные методики для анализа финансовой устойчивости, один из возможных вариантов будет представлен ниже.</w:t>
      </w:r>
    </w:p>
    <w:p w:rsidR="00540755" w:rsidRPr="00540755" w:rsidRDefault="00540755" w:rsidP="00540755">
      <w:pPr>
        <w:spacing w:line="360" w:lineRule="auto"/>
        <w:ind w:firstLine="709"/>
        <w:jc w:val="both"/>
        <w:rPr>
          <w:sz w:val="28"/>
          <w:szCs w:val="28"/>
        </w:rPr>
      </w:pPr>
      <w:r w:rsidRPr="00540755">
        <w:rPr>
          <w:sz w:val="28"/>
          <w:szCs w:val="28"/>
        </w:rPr>
        <w:t>Для расчетов возьмем компании, которые осуществляют свою деятельность в Твери, и сделаем выводы о их финансовой устойчивости.</w:t>
      </w:r>
    </w:p>
    <w:p w:rsidR="00540755" w:rsidRPr="00540755" w:rsidRDefault="00540755" w:rsidP="00540755">
      <w:pPr>
        <w:spacing w:line="360" w:lineRule="auto"/>
        <w:ind w:firstLine="709"/>
        <w:jc w:val="both"/>
        <w:rPr>
          <w:sz w:val="28"/>
          <w:szCs w:val="28"/>
        </w:rPr>
      </w:pPr>
      <w:r w:rsidRPr="00540755">
        <w:rPr>
          <w:sz w:val="28"/>
          <w:szCs w:val="28"/>
        </w:rPr>
        <w:t xml:space="preserve">Для расчетов были выбраны такие организации, как: ОАО «Тверской полиграфический комбинат», ОАО </w:t>
      </w:r>
      <w:proofErr w:type="gramStart"/>
      <w:r w:rsidRPr="00540755">
        <w:rPr>
          <w:sz w:val="28"/>
          <w:szCs w:val="28"/>
        </w:rPr>
        <w:t>« Тверской</w:t>
      </w:r>
      <w:proofErr w:type="gramEnd"/>
      <w:r w:rsidRPr="00540755">
        <w:rPr>
          <w:sz w:val="28"/>
          <w:szCs w:val="28"/>
        </w:rPr>
        <w:t xml:space="preserve"> вагоностроительный завод», ОАО «Отель Оснабрюк», ОАО « Тверской экскаватор». На основе финансовых документов этих организаций, были рассчитаны финансовые коэффициенты, которые приведены в таблице ниже.</w:t>
      </w:r>
    </w:p>
    <w:p w:rsidR="00540755" w:rsidRPr="00540755" w:rsidRDefault="00540755" w:rsidP="00540755">
      <w:pPr>
        <w:spacing w:line="360" w:lineRule="auto"/>
        <w:jc w:val="both"/>
        <w:rPr>
          <w:sz w:val="28"/>
          <w:szCs w:val="28"/>
        </w:rPr>
      </w:pPr>
      <w:r w:rsidRPr="00540755">
        <w:rPr>
          <w:sz w:val="28"/>
          <w:szCs w:val="28"/>
        </w:rPr>
        <w:t>Таблица 2. Коэффициенты финансовой устойчивости компаний за 2016 год</w:t>
      </w:r>
    </w:p>
    <w:tbl>
      <w:tblPr>
        <w:tblStyle w:val="a7"/>
        <w:tblW w:w="0" w:type="auto"/>
        <w:tblLayout w:type="fixed"/>
        <w:tblLook w:val="04A0" w:firstRow="1" w:lastRow="0" w:firstColumn="1" w:lastColumn="0" w:noHBand="0" w:noVBand="1"/>
      </w:tblPr>
      <w:tblGrid>
        <w:gridCol w:w="2235"/>
        <w:gridCol w:w="1134"/>
        <w:gridCol w:w="1134"/>
        <w:gridCol w:w="1559"/>
        <w:gridCol w:w="1701"/>
        <w:gridCol w:w="1559"/>
      </w:tblGrid>
      <w:tr w:rsidR="00540755" w:rsidTr="0089194C">
        <w:tc>
          <w:tcPr>
            <w:tcW w:w="2235" w:type="dxa"/>
          </w:tcPr>
          <w:p w:rsidR="00540755" w:rsidRPr="00321232" w:rsidRDefault="00540755" w:rsidP="0089194C">
            <w:pPr>
              <w:jc w:val="center"/>
              <w:rPr>
                <w:sz w:val="24"/>
                <w:szCs w:val="24"/>
              </w:rPr>
            </w:pPr>
            <w:r w:rsidRPr="00321232">
              <w:rPr>
                <w:sz w:val="24"/>
                <w:szCs w:val="24"/>
              </w:rPr>
              <w:t>Коэффициенты:</w:t>
            </w:r>
          </w:p>
        </w:tc>
        <w:tc>
          <w:tcPr>
            <w:tcW w:w="1134" w:type="dxa"/>
          </w:tcPr>
          <w:p w:rsidR="00540755" w:rsidRPr="00321232" w:rsidRDefault="00540755" w:rsidP="0089194C">
            <w:pPr>
              <w:jc w:val="center"/>
              <w:rPr>
                <w:sz w:val="24"/>
                <w:szCs w:val="24"/>
              </w:rPr>
            </w:pPr>
            <w:r w:rsidRPr="00321232">
              <w:rPr>
                <w:sz w:val="24"/>
                <w:szCs w:val="24"/>
              </w:rPr>
              <w:t>ОАО «ТПК»</w:t>
            </w:r>
          </w:p>
        </w:tc>
        <w:tc>
          <w:tcPr>
            <w:tcW w:w="1134" w:type="dxa"/>
          </w:tcPr>
          <w:p w:rsidR="00540755" w:rsidRPr="00321232" w:rsidRDefault="00540755" w:rsidP="0089194C">
            <w:pPr>
              <w:jc w:val="center"/>
              <w:rPr>
                <w:sz w:val="24"/>
                <w:szCs w:val="24"/>
              </w:rPr>
            </w:pPr>
            <w:r w:rsidRPr="00321232">
              <w:rPr>
                <w:sz w:val="24"/>
                <w:szCs w:val="24"/>
              </w:rPr>
              <w:t>ОАО «ТВЗ»</w:t>
            </w:r>
          </w:p>
        </w:tc>
        <w:tc>
          <w:tcPr>
            <w:tcW w:w="1559" w:type="dxa"/>
          </w:tcPr>
          <w:p w:rsidR="00540755" w:rsidRPr="00321232" w:rsidRDefault="00540755" w:rsidP="0089194C">
            <w:pPr>
              <w:jc w:val="center"/>
              <w:rPr>
                <w:sz w:val="24"/>
                <w:szCs w:val="24"/>
              </w:rPr>
            </w:pPr>
            <w:r w:rsidRPr="00321232">
              <w:rPr>
                <w:sz w:val="24"/>
                <w:szCs w:val="24"/>
              </w:rPr>
              <w:t>ОАО «ТВЭКС»</w:t>
            </w:r>
          </w:p>
        </w:tc>
        <w:tc>
          <w:tcPr>
            <w:tcW w:w="1701" w:type="dxa"/>
          </w:tcPr>
          <w:p w:rsidR="00540755" w:rsidRPr="00321232" w:rsidRDefault="00540755" w:rsidP="0089194C">
            <w:pPr>
              <w:jc w:val="center"/>
              <w:rPr>
                <w:sz w:val="24"/>
                <w:szCs w:val="24"/>
              </w:rPr>
            </w:pPr>
            <w:r w:rsidRPr="00321232">
              <w:rPr>
                <w:sz w:val="24"/>
                <w:szCs w:val="24"/>
              </w:rPr>
              <w:t>ОАО «Отель Оснабрюк»</w:t>
            </w:r>
          </w:p>
        </w:tc>
        <w:tc>
          <w:tcPr>
            <w:tcW w:w="1559" w:type="dxa"/>
          </w:tcPr>
          <w:p w:rsidR="00540755" w:rsidRPr="00321232" w:rsidRDefault="00540755" w:rsidP="0089194C">
            <w:pPr>
              <w:jc w:val="center"/>
              <w:rPr>
                <w:sz w:val="24"/>
                <w:szCs w:val="24"/>
              </w:rPr>
            </w:pPr>
            <w:r w:rsidRPr="00321232">
              <w:rPr>
                <w:sz w:val="24"/>
                <w:szCs w:val="24"/>
              </w:rPr>
              <w:t>Рекомендуемое значение</w:t>
            </w:r>
          </w:p>
        </w:tc>
      </w:tr>
      <w:tr w:rsidR="00540755" w:rsidTr="0089194C">
        <w:tc>
          <w:tcPr>
            <w:tcW w:w="2235" w:type="dxa"/>
          </w:tcPr>
          <w:p w:rsidR="00540755" w:rsidRPr="00321232" w:rsidRDefault="00540755" w:rsidP="0089194C">
            <w:pPr>
              <w:rPr>
                <w:sz w:val="24"/>
                <w:szCs w:val="24"/>
              </w:rPr>
            </w:pPr>
            <w:r w:rsidRPr="00321232">
              <w:rPr>
                <w:sz w:val="24"/>
                <w:szCs w:val="24"/>
              </w:rPr>
              <w:t>Финансовой устойчивости</w:t>
            </w:r>
          </w:p>
        </w:tc>
        <w:tc>
          <w:tcPr>
            <w:tcW w:w="1134" w:type="dxa"/>
          </w:tcPr>
          <w:p w:rsidR="00540755" w:rsidRPr="00321232" w:rsidRDefault="00540755" w:rsidP="0089194C">
            <w:pPr>
              <w:jc w:val="center"/>
              <w:rPr>
                <w:sz w:val="24"/>
                <w:szCs w:val="24"/>
              </w:rPr>
            </w:pPr>
            <w:r w:rsidRPr="00321232">
              <w:rPr>
                <w:sz w:val="24"/>
                <w:szCs w:val="24"/>
              </w:rPr>
              <w:t>0,70</w:t>
            </w:r>
          </w:p>
        </w:tc>
        <w:tc>
          <w:tcPr>
            <w:tcW w:w="1134" w:type="dxa"/>
          </w:tcPr>
          <w:p w:rsidR="00540755" w:rsidRPr="00321232" w:rsidRDefault="00540755" w:rsidP="0089194C">
            <w:pPr>
              <w:jc w:val="center"/>
              <w:rPr>
                <w:sz w:val="24"/>
                <w:szCs w:val="24"/>
              </w:rPr>
            </w:pPr>
            <w:r w:rsidRPr="00321232">
              <w:rPr>
                <w:sz w:val="24"/>
                <w:szCs w:val="24"/>
              </w:rPr>
              <w:t>0,33</w:t>
            </w:r>
          </w:p>
        </w:tc>
        <w:tc>
          <w:tcPr>
            <w:tcW w:w="1559" w:type="dxa"/>
          </w:tcPr>
          <w:p w:rsidR="00540755" w:rsidRPr="00321232" w:rsidRDefault="00540755" w:rsidP="0089194C">
            <w:pPr>
              <w:jc w:val="center"/>
              <w:rPr>
                <w:sz w:val="24"/>
                <w:szCs w:val="24"/>
              </w:rPr>
            </w:pPr>
            <w:r w:rsidRPr="00321232">
              <w:rPr>
                <w:sz w:val="24"/>
                <w:szCs w:val="24"/>
              </w:rPr>
              <w:t>0,99</w:t>
            </w:r>
          </w:p>
        </w:tc>
        <w:tc>
          <w:tcPr>
            <w:tcW w:w="1701" w:type="dxa"/>
          </w:tcPr>
          <w:p w:rsidR="00540755" w:rsidRPr="00321232" w:rsidRDefault="00540755" w:rsidP="0089194C">
            <w:pPr>
              <w:jc w:val="center"/>
              <w:rPr>
                <w:sz w:val="24"/>
                <w:szCs w:val="24"/>
              </w:rPr>
            </w:pPr>
            <w:r w:rsidRPr="00321232">
              <w:rPr>
                <w:sz w:val="24"/>
                <w:szCs w:val="24"/>
              </w:rPr>
              <w:t>0,88</w:t>
            </w:r>
          </w:p>
        </w:tc>
        <w:tc>
          <w:tcPr>
            <w:tcW w:w="1559" w:type="dxa"/>
          </w:tcPr>
          <w:p w:rsidR="00540755" w:rsidRPr="00321232" w:rsidRDefault="00540755" w:rsidP="0089194C">
            <w:pPr>
              <w:jc w:val="center"/>
              <w:rPr>
                <w:sz w:val="24"/>
                <w:szCs w:val="24"/>
              </w:rPr>
            </w:pPr>
            <w:r w:rsidRPr="00321232">
              <w:rPr>
                <w:sz w:val="24"/>
                <w:szCs w:val="24"/>
              </w:rPr>
              <w:t>≥0,6</w:t>
            </w:r>
          </w:p>
        </w:tc>
      </w:tr>
      <w:tr w:rsidR="00540755" w:rsidTr="0089194C">
        <w:tc>
          <w:tcPr>
            <w:tcW w:w="2235" w:type="dxa"/>
          </w:tcPr>
          <w:p w:rsidR="00540755" w:rsidRPr="00321232" w:rsidRDefault="00540755" w:rsidP="0089194C">
            <w:pPr>
              <w:rPr>
                <w:sz w:val="24"/>
                <w:szCs w:val="24"/>
              </w:rPr>
            </w:pPr>
            <w:r w:rsidRPr="00321232">
              <w:rPr>
                <w:sz w:val="24"/>
                <w:szCs w:val="24"/>
              </w:rPr>
              <w:t>Финансирования</w:t>
            </w:r>
          </w:p>
        </w:tc>
        <w:tc>
          <w:tcPr>
            <w:tcW w:w="1134" w:type="dxa"/>
          </w:tcPr>
          <w:p w:rsidR="00540755" w:rsidRPr="00321232" w:rsidRDefault="00540755" w:rsidP="0089194C">
            <w:pPr>
              <w:jc w:val="center"/>
              <w:rPr>
                <w:sz w:val="24"/>
                <w:szCs w:val="24"/>
              </w:rPr>
            </w:pPr>
            <w:r w:rsidRPr="00321232">
              <w:rPr>
                <w:sz w:val="24"/>
                <w:szCs w:val="24"/>
              </w:rPr>
              <w:t>2,24</w:t>
            </w:r>
          </w:p>
        </w:tc>
        <w:tc>
          <w:tcPr>
            <w:tcW w:w="1134" w:type="dxa"/>
          </w:tcPr>
          <w:p w:rsidR="00540755" w:rsidRPr="00321232" w:rsidRDefault="00540755" w:rsidP="0089194C">
            <w:pPr>
              <w:jc w:val="center"/>
              <w:rPr>
                <w:sz w:val="24"/>
                <w:szCs w:val="24"/>
              </w:rPr>
            </w:pPr>
            <w:r w:rsidRPr="00321232">
              <w:rPr>
                <w:sz w:val="24"/>
                <w:szCs w:val="24"/>
              </w:rPr>
              <w:t>0,40</w:t>
            </w:r>
          </w:p>
        </w:tc>
        <w:tc>
          <w:tcPr>
            <w:tcW w:w="1559" w:type="dxa"/>
          </w:tcPr>
          <w:p w:rsidR="00540755" w:rsidRPr="00321232" w:rsidRDefault="00540755" w:rsidP="0089194C">
            <w:pPr>
              <w:jc w:val="center"/>
              <w:rPr>
                <w:sz w:val="24"/>
                <w:szCs w:val="24"/>
              </w:rPr>
            </w:pPr>
            <w:r w:rsidRPr="00321232">
              <w:rPr>
                <w:sz w:val="24"/>
                <w:szCs w:val="24"/>
              </w:rPr>
              <w:t>478,65</w:t>
            </w:r>
          </w:p>
        </w:tc>
        <w:tc>
          <w:tcPr>
            <w:tcW w:w="1701" w:type="dxa"/>
          </w:tcPr>
          <w:p w:rsidR="00540755" w:rsidRPr="00321232" w:rsidRDefault="00540755" w:rsidP="0089194C">
            <w:pPr>
              <w:jc w:val="center"/>
              <w:rPr>
                <w:sz w:val="24"/>
                <w:szCs w:val="24"/>
              </w:rPr>
            </w:pPr>
            <w:r w:rsidRPr="00321232">
              <w:rPr>
                <w:sz w:val="24"/>
                <w:szCs w:val="24"/>
              </w:rPr>
              <w:t>2,64</w:t>
            </w:r>
          </w:p>
        </w:tc>
        <w:tc>
          <w:tcPr>
            <w:tcW w:w="1559" w:type="dxa"/>
          </w:tcPr>
          <w:p w:rsidR="00540755" w:rsidRPr="00321232" w:rsidRDefault="00540755" w:rsidP="0089194C">
            <w:pPr>
              <w:jc w:val="center"/>
              <w:rPr>
                <w:sz w:val="24"/>
                <w:szCs w:val="24"/>
              </w:rPr>
            </w:pPr>
            <w:r w:rsidRPr="00321232">
              <w:rPr>
                <w:sz w:val="24"/>
                <w:szCs w:val="24"/>
              </w:rPr>
              <w:t>≥0,7</w:t>
            </w:r>
          </w:p>
        </w:tc>
      </w:tr>
      <w:tr w:rsidR="00540755" w:rsidTr="0089194C">
        <w:tc>
          <w:tcPr>
            <w:tcW w:w="2235" w:type="dxa"/>
          </w:tcPr>
          <w:p w:rsidR="00540755" w:rsidRPr="00321232" w:rsidRDefault="00540755" w:rsidP="0089194C">
            <w:pPr>
              <w:rPr>
                <w:sz w:val="24"/>
                <w:szCs w:val="24"/>
              </w:rPr>
            </w:pPr>
            <w:r w:rsidRPr="00321232">
              <w:rPr>
                <w:sz w:val="24"/>
                <w:szCs w:val="24"/>
              </w:rPr>
              <w:t>Финансовой независимости</w:t>
            </w:r>
          </w:p>
        </w:tc>
        <w:tc>
          <w:tcPr>
            <w:tcW w:w="1134" w:type="dxa"/>
          </w:tcPr>
          <w:p w:rsidR="00540755" w:rsidRPr="00321232" w:rsidRDefault="00540755" w:rsidP="0089194C">
            <w:pPr>
              <w:jc w:val="center"/>
              <w:rPr>
                <w:sz w:val="24"/>
                <w:szCs w:val="24"/>
              </w:rPr>
            </w:pPr>
            <w:r w:rsidRPr="00321232">
              <w:rPr>
                <w:sz w:val="24"/>
                <w:szCs w:val="24"/>
              </w:rPr>
              <w:t>0,69</w:t>
            </w:r>
          </w:p>
        </w:tc>
        <w:tc>
          <w:tcPr>
            <w:tcW w:w="1134" w:type="dxa"/>
          </w:tcPr>
          <w:p w:rsidR="00540755" w:rsidRPr="00321232" w:rsidRDefault="00540755" w:rsidP="0089194C">
            <w:pPr>
              <w:jc w:val="center"/>
              <w:rPr>
                <w:sz w:val="24"/>
                <w:szCs w:val="24"/>
              </w:rPr>
            </w:pPr>
            <w:r w:rsidRPr="00321232">
              <w:rPr>
                <w:sz w:val="24"/>
                <w:szCs w:val="24"/>
              </w:rPr>
              <w:t>0,29</w:t>
            </w:r>
          </w:p>
        </w:tc>
        <w:tc>
          <w:tcPr>
            <w:tcW w:w="1559" w:type="dxa"/>
          </w:tcPr>
          <w:p w:rsidR="00540755" w:rsidRPr="00321232" w:rsidRDefault="00540755" w:rsidP="0089194C">
            <w:pPr>
              <w:jc w:val="center"/>
              <w:rPr>
                <w:sz w:val="24"/>
                <w:szCs w:val="24"/>
              </w:rPr>
            </w:pPr>
            <w:r w:rsidRPr="00321232">
              <w:rPr>
                <w:sz w:val="24"/>
                <w:szCs w:val="24"/>
              </w:rPr>
              <w:t>0.99</w:t>
            </w:r>
          </w:p>
        </w:tc>
        <w:tc>
          <w:tcPr>
            <w:tcW w:w="1701" w:type="dxa"/>
          </w:tcPr>
          <w:p w:rsidR="00540755" w:rsidRPr="00321232" w:rsidRDefault="00540755" w:rsidP="0089194C">
            <w:pPr>
              <w:jc w:val="center"/>
              <w:rPr>
                <w:sz w:val="24"/>
                <w:szCs w:val="24"/>
              </w:rPr>
            </w:pPr>
            <w:r w:rsidRPr="00321232">
              <w:rPr>
                <w:sz w:val="24"/>
                <w:szCs w:val="24"/>
              </w:rPr>
              <w:t>0,21</w:t>
            </w:r>
          </w:p>
        </w:tc>
        <w:tc>
          <w:tcPr>
            <w:tcW w:w="1559" w:type="dxa"/>
          </w:tcPr>
          <w:p w:rsidR="00540755" w:rsidRPr="00321232" w:rsidRDefault="00540755" w:rsidP="0089194C">
            <w:pPr>
              <w:jc w:val="center"/>
              <w:rPr>
                <w:sz w:val="24"/>
                <w:szCs w:val="24"/>
              </w:rPr>
            </w:pPr>
            <w:r w:rsidRPr="00321232">
              <w:rPr>
                <w:sz w:val="24"/>
                <w:szCs w:val="24"/>
              </w:rPr>
              <w:t>≥0,4</w:t>
            </w:r>
          </w:p>
          <w:p w:rsidR="00540755" w:rsidRPr="00321232" w:rsidRDefault="00540755" w:rsidP="0089194C">
            <w:pPr>
              <w:jc w:val="center"/>
              <w:rPr>
                <w:sz w:val="24"/>
                <w:szCs w:val="24"/>
              </w:rPr>
            </w:pPr>
            <w:r w:rsidRPr="00321232">
              <w:rPr>
                <w:sz w:val="24"/>
                <w:szCs w:val="24"/>
              </w:rPr>
              <w:t>≤0,6</w:t>
            </w:r>
          </w:p>
        </w:tc>
      </w:tr>
      <w:tr w:rsidR="00540755" w:rsidTr="0089194C">
        <w:tc>
          <w:tcPr>
            <w:tcW w:w="2235" w:type="dxa"/>
          </w:tcPr>
          <w:p w:rsidR="00540755" w:rsidRPr="00321232" w:rsidRDefault="00540755" w:rsidP="0089194C">
            <w:pPr>
              <w:rPr>
                <w:sz w:val="24"/>
                <w:szCs w:val="24"/>
              </w:rPr>
            </w:pPr>
            <w:r w:rsidRPr="00321232">
              <w:rPr>
                <w:sz w:val="24"/>
                <w:szCs w:val="24"/>
              </w:rPr>
              <w:t>Обеспеченности собственными средствами</w:t>
            </w:r>
          </w:p>
        </w:tc>
        <w:tc>
          <w:tcPr>
            <w:tcW w:w="1134" w:type="dxa"/>
          </w:tcPr>
          <w:p w:rsidR="00540755" w:rsidRPr="00321232" w:rsidRDefault="00540755" w:rsidP="0089194C">
            <w:pPr>
              <w:jc w:val="center"/>
              <w:rPr>
                <w:sz w:val="24"/>
                <w:szCs w:val="24"/>
              </w:rPr>
            </w:pPr>
            <w:r w:rsidRPr="00321232">
              <w:rPr>
                <w:sz w:val="24"/>
                <w:szCs w:val="24"/>
              </w:rPr>
              <w:t>0,46</w:t>
            </w:r>
          </w:p>
        </w:tc>
        <w:tc>
          <w:tcPr>
            <w:tcW w:w="1134" w:type="dxa"/>
          </w:tcPr>
          <w:p w:rsidR="00540755" w:rsidRPr="00321232" w:rsidRDefault="00540755" w:rsidP="0089194C">
            <w:pPr>
              <w:jc w:val="center"/>
              <w:rPr>
                <w:sz w:val="24"/>
                <w:szCs w:val="24"/>
              </w:rPr>
            </w:pPr>
            <w:r w:rsidRPr="00321232">
              <w:rPr>
                <w:sz w:val="24"/>
                <w:szCs w:val="24"/>
              </w:rPr>
              <w:t>0,01</w:t>
            </w:r>
          </w:p>
        </w:tc>
        <w:tc>
          <w:tcPr>
            <w:tcW w:w="1559" w:type="dxa"/>
          </w:tcPr>
          <w:p w:rsidR="00540755" w:rsidRPr="00321232" w:rsidRDefault="00540755" w:rsidP="0089194C">
            <w:pPr>
              <w:jc w:val="center"/>
              <w:rPr>
                <w:sz w:val="24"/>
                <w:szCs w:val="24"/>
              </w:rPr>
            </w:pPr>
            <w:r w:rsidRPr="00321232">
              <w:rPr>
                <w:sz w:val="24"/>
                <w:szCs w:val="24"/>
              </w:rPr>
              <w:t>0,99</w:t>
            </w:r>
          </w:p>
        </w:tc>
        <w:tc>
          <w:tcPr>
            <w:tcW w:w="1701" w:type="dxa"/>
          </w:tcPr>
          <w:p w:rsidR="00540755" w:rsidRPr="00321232" w:rsidRDefault="00540755" w:rsidP="0089194C">
            <w:pPr>
              <w:jc w:val="center"/>
              <w:rPr>
                <w:sz w:val="24"/>
                <w:szCs w:val="24"/>
              </w:rPr>
            </w:pPr>
            <w:r>
              <w:rPr>
                <w:sz w:val="24"/>
                <w:szCs w:val="24"/>
              </w:rPr>
              <w:t>-</w:t>
            </w:r>
            <w:r w:rsidRPr="00321232">
              <w:rPr>
                <w:sz w:val="24"/>
                <w:szCs w:val="24"/>
              </w:rPr>
              <w:t>0,78</w:t>
            </w:r>
          </w:p>
        </w:tc>
        <w:tc>
          <w:tcPr>
            <w:tcW w:w="1559" w:type="dxa"/>
          </w:tcPr>
          <w:p w:rsidR="00540755" w:rsidRPr="00321232" w:rsidRDefault="00540755" w:rsidP="0089194C">
            <w:pPr>
              <w:jc w:val="center"/>
              <w:rPr>
                <w:sz w:val="24"/>
                <w:szCs w:val="24"/>
              </w:rPr>
            </w:pPr>
            <w:r w:rsidRPr="00321232">
              <w:rPr>
                <w:sz w:val="24"/>
                <w:szCs w:val="24"/>
              </w:rPr>
              <w:t>≥0,1</w:t>
            </w:r>
          </w:p>
          <w:p w:rsidR="00540755" w:rsidRPr="00321232" w:rsidRDefault="00540755" w:rsidP="0089194C">
            <w:pPr>
              <w:jc w:val="center"/>
              <w:rPr>
                <w:sz w:val="24"/>
                <w:szCs w:val="24"/>
              </w:rPr>
            </w:pPr>
            <w:r w:rsidRPr="00321232">
              <w:rPr>
                <w:sz w:val="24"/>
                <w:szCs w:val="24"/>
              </w:rPr>
              <w:t>≤0,5</w:t>
            </w:r>
          </w:p>
        </w:tc>
      </w:tr>
      <w:tr w:rsidR="00540755" w:rsidTr="0089194C">
        <w:tc>
          <w:tcPr>
            <w:tcW w:w="2235" w:type="dxa"/>
          </w:tcPr>
          <w:p w:rsidR="00540755" w:rsidRPr="00321232" w:rsidRDefault="00540755" w:rsidP="0089194C">
            <w:pPr>
              <w:rPr>
                <w:sz w:val="24"/>
                <w:szCs w:val="24"/>
              </w:rPr>
            </w:pPr>
            <w:r w:rsidRPr="00321232">
              <w:rPr>
                <w:sz w:val="24"/>
                <w:szCs w:val="24"/>
              </w:rPr>
              <w:t>Капитализации</w:t>
            </w:r>
          </w:p>
          <w:p w:rsidR="00540755" w:rsidRPr="00321232" w:rsidRDefault="00540755" w:rsidP="0089194C">
            <w:pPr>
              <w:rPr>
                <w:sz w:val="24"/>
                <w:szCs w:val="24"/>
              </w:rPr>
            </w:pPr>
          </w:p>
        </w:tc>
        <w:tc>
          <w:tcPr>
            <w:tcW w:w="1134" w:type="dxa"/>
          </w:tcPr>
          <w:p w:rsidR="00540755" w:rsidRPr="00321232" w:rsidRDefault="00540755" w:rsidP="0089194C">
            <w:pPr>
              <w:jc w:val="center"/>
              <w:rPr>
                <w:sz w:val="24"/>
                <w:szCs w:val="24"/>
              </w:rPr>
            </w:pPr>
            <w:r w:rsidRPr="00321232">
              <w:rPr>
                <w:sz w:val="24"/>
                <w:szCs w:val="24"/>
              </w:rPr>
              <w:t>0,46</w:t>
            </w:r>
          </w:p>
        </w:tc>
        <w:tc>
          <w:tcPr>
            <w:tcW w:w="1134" w:type="dxa"/>
          </w:tcPr>
          <w:p w:rsidR="00540755" w:rsidRPr="00321232" w:rsidRDefault="00540755" w:rsidP="0089194C">
            <w:pPr>
              <w:jc w:val="center"/>
              <w:rPr>
                <w:sz w:val="24"/>
                <w:szCs w:val="24"/>
              </w:rPr>
            </w:pPr>
            <w:r w:rsidRPr="00321232">
              <w:rPr>
                <w:sz w:val="24"/>
                <w:szCs w:val="24"/>
              </w:rPr>
              <w:t>2,44</w:t>
            </w:r>
          </w:p>
        </w:tc>
        <w:tc>
          <w:tcPr>
            <w:tcW w:w="1559" w:type="dxa"/>
          </w:tcPr>
          <w:p w:rsidR="00540755" w:rsidRPr="00321232" w:rsidRDefault="00540755" w:rsidP="0089194C">
            <w:pPr>
              <w:jc w:val="center"/>
              <w:rPr>
                <w:sz w:val="24"/>
                <w:szCs w:val="24"/>
              </w:rPr>
            </w:pPr>
            <w:r w:rsidRPr="00321232">
              <w:rPr>
                <w:sz w:val="24"/>
                <w:szCs w:val="24"/>
              </w:rPr>
              <w:t>0,002</w:t>
            </w:r>
          </w:p>
        </w:tc>
        <w:tc>
          <w:tcPr>
            <w:tcW w:w="1701" w:type="dxa"/>
          </w:tcPr>
          <w:p w:rsidR="00540755" w:rsidRPr="00321232" w:rsidRDefault="00540755" w:rsidP="0089194C">
            <w:pPr>
              <w:jc w:val="center"/>
              <w:rPr>
                <w:sz w:val="24"/>
                <w:szCs w:val="24"/>
              </w:rPr>
            </w:pPr>
            <w:r w:rsidRPr="00321232">
              <w:rPr>
                <w:sz w:val="24"/>
                <w:szCs w:val="24"/>
              </w:rPr>
              <w:t>3,74</w:t>
            </w:r>
          </w:p>
        </w:tc>
        <w:tc>
          <w:tcPr>
            <w:tcW w:w="1559" w:type="dxa"/>
          </w:tcPr>
          <w:p w:rsidR="00540755" w:rsidRPr="00321232" w:rsidRDefault="00540755" w:rsidP="0089194C">
            <w:pPr>
              <w:jc w:val="center"/>
              <w:rPr>
                <w:sz w:val="24"/>
                <w:szCs w:val="24"/>
              </w:rPr>
            </w:pPr>
            <w:r w:rsidRPr="00321232">
              <w:rPr>
                <w:sz w:val="24"/>
                <w:szCs w:val="24"/>
              </w:rPr>
              <w:t>≤1,5</w:t>
            </w:r>
          </w:p>
        </w:tc>
      </w:tr>
    </w:tbl>
    <w:p w:rsidR="00540755" w:rsidRPr="00D02241" w:rsidRDefault="00540755" w:rsidP="00540755">
      <w:pPr>
        <w:rPr>
          <w:sz w:val="24"/>
          <w:szCs w:val="24"/>
        </w:rPr>
      </w:pPr>
      <w:r w:rsidRPr="00D02241">
        <w:rPr>
          <w:sz w:val="24"/>
          <w:szCs w:val="24"/>
        </w:rPr>
        <w:t>Источник: составлено автором</w:t>
      </w:r>
    </w:p>
    <w:p w:rsidR="00540755" w:rsidRPr="00540755" w:rsidRDefault="00540755" w:rsidP="00540755">
      <w:pPr>
        <w:spacing w:line="360" w:lineRule="auto"/>
        <w:ind w:firstLine="709"/>
        <w:jc w:val="both"/>
        <w:rPr>
          <w:sz w:val="28"/>
          <w:szCs w:val="28"/>
        </w:rPr>
      </w:pPr>
      <w:r w:rsidRPr="00540755">
        <w:rPr>
          <w:sz w:val="28"/>
          <w:szCs w:val="28"/>
        </w:rPr>
        <w:t xml:space="preserve">Сделаем выводы о финансовом </w:t>
      </w:r>
      <w:proofErr w:type="gramStart"/>
      <w:r w:rsidRPr="00540755">
        <w:rPr>
          <w:sz w:val="28"/>
          <w:szCs w:val="28"/>
        </w:rPr>
        <w:t>состоянии  организаций</w:t>
      </w:r>
      <w:proofErr w:type="gramEnd"/>
      <w:r w:rsidRPr="00540755">
        <w:rPr>
          <w:sz w:val="28"/>
          <w:szCs w:val="28"/>
        </w:rPr>
        <w:t xml:space="preserve">, например по коэффициенту финансовой независимости. Можно заметить, что у ОАО «ТПК» и ОАО «ТВЭКС» уровень этого показателя довольно высокий 0,69 и 0,99 пункта соответственно, это говорит о том, что эти компании характеризуются довольно высокой независимостью от внешних источников финансирования. Особенно это относится к ОАО «ТВЭКС», у которого и коэффициент обеспеченности собственными средствами составляет значение в 0,99 пункта, т.е. 99% собственных средств организации направлено на пополнение оборотных активов. Полученные значения коэффициента финансовой независимости говорит об оптимальном балансе собственного и </w:t>
      </w:r>
      <w:r w:rsidRPr="00540755">
        <w:rPr>
          <w:sz w:val="28"/>
          <w:szCs w:val="28"/>
        </w:rPr>
        <w:lastRenderedPageBreak/>
        <w:t>заемного капитала. Можно сделать вывод, о хорошем финансовом положении этих двух организаций. Противоположная ситуация у ОАО «ТВЗ» и ОАО «Отель Оснабрюк», у которых уровень показателя финансовой независимости составляет 0,29 и 0,21 пункта соответственно. Это говорит о том, что эти компании имеют довольно высокую зависимость от внешних источников финансирования, и можно говорить о том, что их финансовая устойчивость несколько хуже.</w:t>
      </w:r>
    </w:p>
    <w:p w:rsidR="00540755" w:rsidRPr="00540755" w:rsidRDefault="00540755" w:rsidP="00540755">
      <w:pPr>
        <w:spacing w:line="360" w:lineRule="auto"/>
        <w:ind w:firstLine="709"/>
        <w:jc w:val="both"/>
        <w:rPr>
          <w:color w:val="000000"/>
          <w:sz w:val="28"/>
          <w:szCs w:val="28"/>
        </w:rPr>
      </w:pPr>
      <w:r w:rsidRPr="00540755">
        <w:rPr>
          <w:sz w:val="28"/>
          <w:szCs w:val="28"/>
        </w:rPr>
        <w:t xml:space="preserve">По коэффициенту финансовой устойчивости можно сделать вывод, что у ОАО «ТПК», ОАО «ТВЭКС» и ОАО «Отель Оснабрюк» этот показатель выше рекомендованного значения, а это значит, что у этих организаций </w:t>
      </w:r>
      <w:r w:rsidRPr="00540755">
        <w:rPr>
          <w:color w:val="000000"/>
          <w:sz w:val="28"/>
          <w:szCs w:val="28"/>
        </w:rPr>
        <w:t>доля долговременных источников финансирования гораздо выше, чем краткосрочных, что может говорить о стабильном положении компании. У ОАО «ТВЗ» это значение меньше рекомендованного, можно сделать вывод, что активы компании профинансированы за счет менее надежных краткосрочных источников финансирования.</w:t>
      </w:r>
    </w:p>
    <w:p w:rsidR="00540755" w:rsidRPr="00540755" w:rsidRDefault="00540755" w:rsidP="00540755">
      <w:pPr>
        <w:spacing w:line="360" w:lineRule="auto"/>
        <w:ind w:firstLine="709"/>
        <w:jc w:val="both"/>
        <w:rPr>
          <w:iCs/>
          <w:sz w:val="28"/>
          <w:szCs w:val="28"/>
        </w:rPr>
      </w:pPr>
      <w:r w:rsidRPr="00540755">
        <w:rPr>
          <w:color w:val="000000"/>
          <w:sz w:val="28"/>
          <w:szCs w:val="28"/>
        </w:rPr>
        <w:t xml:space="preserve">По коэффициенту финансирования можно сделать вывод, </w:t>
      </w:r>
      <w:proofErr w:type="gramStart"/>
      <w:r w:rsidRPr="00540755">
        <w:rPr>
          <w:color w:val="000000"/>
          <w:sz w:val="28"/>
          <w:szCs w:val="28"/>
        </w:rPr>
        <w:t xml:space="preserve">что </w:t>
      </w:r>
      <w:r w:rsidRPr="00540755">
        <w:rPr>
          <w:sz w:val="28"/>
          <w:szCs w:val="28"/>
        </w:rPr>
        <w:t xml:space="preserve"> у</w:t>
      </w:r>
      <w:proofErr w:type="gramEnd"/>
      <w:r w:rsidRPr="00540755">
        <w:rPr>
          <w:sz w:val="28"/>
          <w:szCs w:val="28"/>
        </w:rPr>
        <w:t xml:space="preserve"> ОАО «ТПК», ОАО «ТВЭКС» и ОАО «Отель Оснабрюк» этот показатель выше рекомендованного значения, а это значит, собственные средства компании преобладают над привлеченными. У ОАО «ТВЗ», где этот показатель меньше рекомендованного значения, это говорит об угрозе банкротства </w:t>
      </w:r>
      <w:r w:rsidRPr="00540755">
        <w:rPr>
          <w:iCs/>
          <w:sz w:val="28"/>
          <w:szCs w:val="28"/>
        </w:rPr>
        <w:t>в связи с большой зависимостью от внешнего финансирования.</w:t>
      </w:r>
    </w:p>
    <w:p w:rsidR="00540755" w:rsidRPr="00540755" w:rsidRDefault="00540755" w:rsidP="00540755">
      <w:pPr>
        <w:spacing w:line="360" w:lineRule="auto"/>
        <w:ind w:firstLine="709"/>
        <w:jc w:val="both"/>
        <w:rPr>
          <w:iCs/>
          <w:sz w:val="28"/>
          <w:szCs w:val="28"/>
        </w:rPr>
      </w:pPr>
      <w:r w:rsidRPr="00540755">
        <w:rPr>
          <w:iCs/>
          <w:sz w:val="28"/>
          <w:szCs w:val="28"/>
        </w:rPr>
        <w:t xml:space="preserve">По коэффициенту обеспеченности собственными средствами можно сделать вывод, что только у ОАО «ТПК» этот показатель соответствует рекомендованному значению. У ОАО «ТВЗ» этот показатель равен 0,01 пункта, это означает, что доля оборотных активов компании, финансируемых за счет собственных средств предприятия, очень мала. Противоположная ситуация складывается с ОАО «ТВЭКС», где оборотные активы, почти полностью финансируются за счет собственных средств. У ОАО «Отель Оснабрюк» этот коэффициент отрицательный, это означает, что все оборотные, а также часть внеоборотных активов созданы за счет кредитов и </w:t>
      </w:r>
      <w:r w:rsidRPr="00540755">
        <w:rPr>
          <w:iCs/>
          <w:sz w:val="28"/>
          <w:szCs w:val="28"/>
        </w:rPr>
        <w:lastRenderedPageBreak/>
        <w:t>различных займов. В таком случае устойчивость предприятия будет минимальной.</w:t>
      </w:r>
    </w:p>
    <w:p w:rsidR="00540755" w:rsidRPr="00540755" w:rsidRDefault="00540755" w:rsidP="00540755">
      <w:pPr>
        <w:spacing w:line="360" w:lineRule="auto"/>
        <w:ind w:firstLine="709"/>
        <w:jc w:val="both"/>
        <w:rPr>
          <w:sz w:val="28"/>
          <w:szCs w:val="28"/>
        </w:rPr>
      </w:pPr>
      <w:r w:rsidRPr="00540755">
        <w:rPr>
          <w:iCs/>
          <w:sz w:val="28"/>
          <w:szCs w:val="28"/>
        </w:rPr>
        <w:t>По коэффициенту капитализации можно сделать вывод, что у ОАО «ТПК» и у ОАО «ТВЭКС» этот показатель соответствует рекомендованному значению, а у ОАО «ТВЗ» и у ОАО «Отель Оснабрюк» этот показатель выше рекомендованного значения.</w:t>
      </w:r>
      <w:r w:rsidRPr="00540755">
        <w:rPr>
          <w:b/>
          <w:bCs/>
          <w:color w:val="555555"/>
          <w:sz w:val="28"/>
          <w:szCs w:val="28"/>
        </w:rPr>
        <w:t xml:space="preserve"> </w:t>
      </w:r>
      <w:r w:rsidRPr="00540755">
        <w:rPr>
          <w:bCs/>
          <w:iCs/>
          <w:sz w:val="28"/>
          <w:szCs w:val="28"/>
        </w:rPr>
        <w:t>Коэффициент капитализации</w:t>
      </w:r>
      <w:r w:rsidRPr="00540755">
        <w:rPr>
          <w:iCs/>
          <w:sz w:val="28"/>
          <w:szCs w:val="28"/>
        </w:rPr>
        <w:t> показывает долю собственного капитала компании в его активах. Чем выше показатель, тем больше предпринимательский риск организации. Чем больше доля заемных средств, тем меньше предприятие получит прибыли, поскольку часть ее уйдет на погашение кредитов и выплату процентов.</w:t>
      </w:r>
      <w:r w:rsidRPr="00540755">
        <w:rPr>
          <w:color w:val="000000"/>
          <w:sz w:val="28"/>
          <w:szCs w:val="28"/>
        </w:rPr>
        <w:t xml:space="preserve"> </w:t>
      </w:r>
      <w:r w:rsidRPr="00540755">
        <w:rPr>
          <w:iCs/>
          <w:sz w:val="28"/>
          <w:szCs w:val="28"/>
        </w:rPr>
        <w:t>Компанию, большую часть </w:t>
      </w:r>
      <w:hyperlink r:id="rId7" w:history="1">
        <w:r w:rsidRPr="00540755">
          <w:rPr>
            <w:rStyle w:val="a6"/>
            <w:iCs/>
            <w:color w:val="auto"/>
            <w:sz w:val="28"/>
            <w:szCs w:val="28"/>
            <w:u w:val="none"/>
          </w:rPr>
          <w:t>пассивов</w:t>
        </w:r>
      </w:hyperlink>
      <w:r w:rsidRPr="00540755">
        <w:rPr>
          <w:iCs/>
          <w:sz w:val="28"/>
          <w:szCs w:val="28"/>
        </w:rPr>
        <w:t xml:space="preserve"> которой составляют заемные средства, называют финансово зависимой(ОАО «ТВЗ» и ОАО «Отель Оснабрюк») , коэффициент капитализации такой компании будет высоким. Компания, финансирующая собственную деятельность своими средствами, является финансово независимой </w:t>
      </w:r>
      <w:proofErr w:type="gramStart"/>
      <w:r w:rsidRPr="00540755">
        <w:rPr>
          <w:iCs/>
          <w:sz w:val="28"/>
          <w:szCs w:val="28"/>
        </w:rPr>
        <w:t>( ОАО</w:t>
      </w:r>
      <w:proofErr w:type="gramEnd"/>
      <w:r w:rsidRPr="00540755">
        <w:rPr>
          <w:iCs/>
          <w:sz w:val="28"/>
          <w:szCs w:val="28"/>
        </w:rPr>
        <w:t xml:space="preserve"> «ТПК» и ОАО «ТВЭКС»), коэффициент капитализации ее низкий.</w:t>
      </w:r>
    </w:p>
    <w:p w:rsidR="00540755" w:rsidRPr="00540755" w:rsidRDefault="00540755" w:rsidP="00540755">
      <w:pPr>
        <w:spacing w:line="360" w:lineRule="auto"/>
        <w:ind w:firstLine="709"/>
        <w:jc w:val="both"/>
        <w:rPr>
          <w:sz w:val="28"/>
          <w:szCs w:val="28"/>
        </w:rPr>
      </w:pPr>
      <w:r w:rsidRPr="00540755">
        <w:rPr>
          <w:sz w:val="28"/>
          <w:szCs w:val="28"/>
        </w:rPr>
        <w:t xml:space="preserve">Но, даже рассчитав уровни всех коэффициентов, мы не можем точно сказать, достаточна ли финансовая устойчивость организации. Обеспеченность собственными оборотными средствами, это первый признак хорошей финансовой устойчивости компании. Их нельзя финансировать за счет краткосрочных займов – так как необходимые запасы – элемент оборотных активов, который никак нельзя превратить в денежные средства для погашения задолженности, так как, он служит основой обеспечения бесперебойной </w:t>
      </w:r>
      <w:proofErr w:type="gramStart"/>
      <w:r w:rsidRPr="00540755">
        <w:rPr>
          <w:sz w:val="28"/>
          <w:szCs w:val="28"/>
        </w:rPr>
        <w:t>деятельности  организации</w:t>
      </w:r>
      <w:proofErr w:type="gramEnd"/>
      <w:r w:rsidRPr="00540755">
        <w:rPr>
          <w:sz w:val="28"/>
          <w:szCs w:val="28"/>
        </w:rPr>
        <w:t>.</w:t>
      </w:r>
    </w:p>
    <w:p w:rsidR="00540755" w:rsidRPr="00540755" w:rsidRDefault="00540755" w:rsidP="00540755">
      <w:pPr>
        <w:spacing w:line="360" w:lineRule="auto"/>
        <w:ind w:firstLine="709"/>
        <w:jc w:val="both"/>
        <w:rPr>
          <w:sz w:val="28"/>
          <w:szCs w:val="28"/>
        </w:rPr>
      </w:pPr>
      <w:r w:rsidRPr="00540755">
        <w:rPr>
          <w:sz w:val="28"/>
          <w:szCs w:val="28"/>
        </w:rPr>
        <w:t>Для того чтобы лучше определить уровень финансовой устойчивости используют интегральный критерий финансовой устойчивости:</w:t>
      </w:r>
    </w:p>
    <w:p w:rsidR="00540755" w:rsidRPr="00540755" w:rsidRDefault="00540755" w:rsidP="00540755">
      <w:pPr>
        <w:spacing w:line="360" w:lineRule="auto"/>
        <w:ind w:firstLine="709"/>
        <w:jc w:val="both"/>
        <w:rPr>
          <w:rFonts w:eastAsiaTheme="minorEastAsia"/>
          <w:sz w:val="28"/>
          <w:szCs w:val="28"/>
        </w:rPr>
      </w:pPr>
      <m:oMath>
        <m:r>
          <w:rPr>
            <w:rFonts w:ascii="Cambria Math" w:hAnsi="Cambria Math"/>
            <w:sz w:val="28"/>
            <w:szCs w:val="28"/>
          </w:rPr>
          <m:t>J=Кавт×Кмнск×Ксос×Кфу</m:t>
        </m:r>
      </m:oMath>
      <w:r w:rsidRPr="00540755">
        <w:rPr>
          <w:rFonts w:eastAsiaTheme="minorEastAsia"/>
          <w:sz w:val="28"/>
          <w:szCs w:val="28"/>
        </w:rPr>
        <w:t xml:space="preserve"> , где:</w:t>
      </w:r>
    </w:p>
    <w:p w:rsidR="00540755" w:rsidRPr="00540755" w:rsidRDefault="00540755" w:rsidP="00540755">
      <w:pPr>
        <w:spacing w:line="360" w:lineRule="auto"/>
        <w:ind w:firstLine="709"/>
        <w:jc w:val="both"/>
        <w:rPr>
          <w:rFonts w:eastAsiaTheme="minorEastAsia"/>
          <w:sz w:val="28"/>
          <w:szCs w:val="28"/>
        </w:rPr>
      </w:pPr>
      <w:proofErr w:type="spellStart"/>
      <w:r w:rsidRPr="00540755">
        <w:rPr>
          <w:rFonts w:eastAsiaTheme="minorEastAsia"/>
          <w:sz w:val="28"/>
          <w:szCs w:val="28"/>
        </w:rPr>
        <w:t>Кавт</w:t>
      </w:r>
      <w:proofErr w:type="spellEnd"/>
      <w:r w:rsidRPr="00540755">
        <w:rPr>
          <w:rFonts w:eastAsiaTheme="minorEastAsia"/>
          <w:sz w:val="28"/>
          <w:szCs w:val="28"/>
        </w:rPr>
        <w:t xml:space="preserve"> – коэффициент автономии</w:t>
      </w:r>
    </w:p>
    <w:p w:rsidR="00540755" w:rsidRPr="00540755" w:rsidRDefault="00540755" w:rsidP="00540755">
      <w:pPr>
        <w:spacing w:line="360" w:lineRule="auto"/>
        <w:ind w:firstLine="709"/>
        <w:jc w:val="both"/>
        <w:rPr>
          <w:rFonts w:eastAsiaTheme="minorEastAsia"/>
          <w:sz w:val="28"/>
          <w:szCs w:val="28"/>
        </w:rPr>
      </w:pPr>
      <w:proofErr w:type="spellStart"/>
      <w:r w:rsidRPr="00540755">
        <w:rPr>
          <w:rFonts w:eastAsiaTheme="minorEastAsia"/>
          <w:sz w:val="28"/>
          <w:szCs w:val="28"/>
        </w:rPr>
        <w:t>Кмнск</w:t>
      </w:r>
      <w:proofErr w:type="spellEnd"/>
      <w:r w:rsidRPr="00540755">
        <w:rPr>
          <w:rFonts w:eastAsiaTheme="minorEastAsia"/>
          <w:sz w:val="28"/>
          <w:szCs w:val="28"/>
        </w:rPr>
        <w:t xml:space="preserve"> – коэффициент маневренности собственного капитала</w:t>
      </w:r>
    </w:p>
    <w:p w:rsidR="00540755" w:rsidRPr="00540755" w:rsidRDefault="00540755" w:rsidP="00540755">
      <w:pPr>
        <w:spacing w:line="360" w:lineRule="auto"/>
        <w:ind w:firstLine="709"/>
        <w:jc w:val="both"/>
        <w:rPr>
          <w:rFonts w:eastAsiaTheme="minorEastAsia"/>
          <w:sz w:val="28"/>
          <w:szCs w:val="28"/>
        </w:rPr>
      </w:pPr>
      <w:proofErr w:type="spellStart"/>
      <w:r w:rsidRPr="00540755">
        <w:rPr>
          <w:rFonts w:eastAsiaTheme="minorEastAsia"/>
          <w:sz w:val="28"/>
          <w:szCs w:val="28"/>
        </w:rPr>
        <w:t>Ксос</w:t>
      </w:r>
      <w:proofErr w:type="spellEnd"/>
      <w:r w:rsidRPr="00540755">
        <w:rPr>
          <w:rFonts w:eastAsiaTheme="minorEastAsia"/>
          <w:sz w:val="28"/>
          <w:szCs w:val="28"/>
        </w:rPr>
        <w:t xml:space="preserve"> </w:t>
      </w:r>
      <w:r w:rsidRPr="00540755">
        <w:rPr>
          <w:rFonts w:eastAsiaTheme="minorEastAsia"/>
          <w:sz w:val="28"/>
          <w:szCs w:val="28"/>
        </w:rPr>
        <w:softHyphen/>
        <w:t>– коэффициент обеспечения собственными средствами</w:t>
      </w:r>
    </w:p>
    <w:p w:rsidR="00540755" w:rsidRPr="00540755" w:rsidRDefault="00540755" w:rsidP="00540755">
      <w:pPr>
        <w:spacing w:line="360" w:lineRule="auto"/>
        <w:ind w:firstLine="709"/>
        <w:jc w:val="both"/>
        <w:rPr>
          <w:rFonts w:eastAsiaTheme="minorEastAsia"/>
          <w:sz w:val="28"/>
          <w:szCs w:val="28"/>
        </w:rPr>
      </w:pPr>
      <w:proofErr w:type="spellStart"/>
      <w:r w:rsidRPr="00540755">
        <w:rPr>
          <w:rFonts w:eastAsiaTheme="minorEastAsia"/>
          <w:sz w:val="28"/>
          <w:szCs w:val="28"/>
        </w:rPr>
        <w:lastRenderedPageBreak/>
        <w:t>Кфу</w:t>
      </w:r>
      <w:proofErr w:type="spellEnd"/>
      <w:r w:rsidRPr="00540755">
        <w:rPr>
          <w:rFonts w:eastAsiaTheme="minorEastAsia"/>
          <w:sz w:val="28"/>
          <w:szCs w:val="28"/>
        </w:rPr>
        <w:t xml:space="preserve"> – коэффициент финансовой устойчивости</w:t>
      </w:r>
    </w:p>
    <w:p w:rsidR="00540755" w:rsidRPr="00540755" w:rsidRDefault="00540755" w:rsidP="00540755">
      <w:pPr>
        <w:spacing w:line="360" w:lineRule="auto"/>
        <w:jc w:val="both"/>
        <w:rPr>
          <w:rFonts w:eastAsiaTheme="minorEastAsia"/>
          <w:sz w:val="28"/>
          <w:szCs w:val="28"/>
        </w:rPr>
      </w:pPr>
      <w:r w:rsidRPr="00540755">
        <w:rPr>
          <w:rFonts w:eastAsiaTheme="minorEastAsia"/>
          <w:sz w:val="28"/>
          <w:szCs w:val="28"/>
        </w:rPr>
        <w:t>Таблица 3. Значение показателя интегрального критерия финансовой устойчивости за 2016 год</w:t>
      </w:r>
    </w:p>
    <w:tbl>
      <w:tblPr>
        <w:tblStyle w:val="a7"/>
        <w:tblW w:w="0" w:type="auto"/>
        <w:tblLook w:val="04A0" w:firstRow="1" w:lastRow="0" w:firstColumn="1" w:lastColumn="0" w:noHBand="0" w:noVBand="1"/>
      </w:tblPr>
      <w:tblGrid>
        <w:gridCol w:w="2049"/>
        <w:gridCol w:w="1824"/>
        <w:gridCol w:w="1805"/>
        <w:gridCol w:w="1828"/>
        <w:gridCol w:w="1839"/>
      </w:tblGrid>
      <w:tr w:rsidR="00540755" w:rsidRPr="00540755" w:rsidTr="0089194C">
        <w:tc>
          <w:tcPr>
            <w:tcW w:w="2073" w:type="dxa"/>
          </w:tcPr>
          <w:p w:rsidR="00540755" w:rsidRPr="00540755" w:rsidRDefault="00540755" w:rsidP="00540755">
            <w:pPr>
              <w:spacing w:before="240"/>
              <w:rPr>
                <w:rFonts w:eastAsiaTheme="minorEastAsia"/>
                <w:sz w:val="24"/>
                <w:szCs w:val="24"/>
              </w:rPr>
            </w:pPr>
            <w:r w:rsidRPr="00540755">
              <w:rPr>
                <w:rFonts w:eastAsiaTheme="minorEastAsia"/>
                <w:sz w:val="24"/>
                <w:szCs w:val="24"/>
              </w:rPr>
              <w:t>Показатель</w:t>
            </w:r>
          </w:p>
        </w:tc>
        <w:tc>
          <w:tcPr>
            <w:tcW w:w="1887" w:type="dxa"/>
          </w:tcPr>
          <w:p w:rsidR="00540755" w:rsidRPr="00540755" w:rsidRDefault="00540755" w:rsidP="00540755">
            <w:pPr>
              <w:spacing w:before="240"/>
              <w:rPr>
                <w:rFonts w:eastAsiaTheme="minorEastAsia"/>
                <w:sz w:val="24"/>
                <w:szCs w:val="24"/>
              </w:rPr>
            </w:pPr>
            <w:r w:rsidRPr="00540755">
              <w:rPr>
                <w:sz w:val="24"/>
                <w:szCs w:val="24"/>
              </w:rPr>
              <w:t>ОАО «ТПК»</w:t>
            </w:r>
          </w:p>
        </w:tc>
        <w:tc>
          <w:tcPr>
            <w:tcW w:w="1870" w:type="dxa"/>
          </w:tcPr>
          <w:p w:rsidR="00540755" w:rsidRPr="00540755" w:rsidRDefault="00540755" w:rsidP="00540755">
            <w:pPr>
              <w:rPr>
                <w:sz w:val="24"/>
                <w:szCs w:val="24"/>
              </w:rPr>
            </w:pPr>
          </w:p>
          <w:p w:rsidR="00540755" w:rsidRPr="00540755" w:rsidRDefault="00540755" w:rsidP="00540755">
            <w:pPr>
              <w:rPr>
                <w:sz w:val="24"/>
                <w:szCs w:val="24"/>
              </w:rPr>
            </w:pPr>
            <w:r w:rsidRPr="00540755">
              <w:rPr>
                <w:sz w:val="24"/>
                <w:szCs w:val="24"/>
              </w:rPr>
              <w:t>ОАО «ТВЗ»</w:t>
            </w:r>
          </w:p>
        </w:tc>
        <w:tc>
          <w:tcPr>
            <w:tcW w:w="1870" w:type="dxa"/>
          </w:tcPr>
          <w:p w:rsidR="00540755" w:rsidRPr="00540755" w:rsidRDefault="00540755" w:rsidP="00540755">
            <w:pPr>
              <w:spacing w:before="240"/>
              <w:rPr>
                <w:rFonts w:eastAsiaTheme="minorEastAsia"/>
                <w:sz w:val="24"/>
                <w:szCs w:val="24"/>
              </w:rPr>
            </w:pPr>
            <w:r w:rsidRPr="00540755">
              <w:rPr>
                <w:sz w:val="24"/>
                <w:szCs w:val="24"/>
              </w:rPr>
              <w:t>ОАО «ТВЭКС»</w:t>
            </w:r>
          </w:p>
        </w:tc>
        <w:tc>
          <w:tcPr>
            <w:tcW w:w="1871" w:type="dxa"/>
          </w:tcPr>
          <w:p w:rsidR="00540755" w:rsidRPr="00540755" w:rsidRDefault="00540755" w:rsidP="00540755">
            <w:pPr>
              <w:spacing w:before="240"/>
              <w:rPr>
                <w:rFonts w:eastAsiaTheme="minorEastAsia"/>
                <w:sz w:val="24"/>
                <w:szCs w:val="24"/>
              </w:rPr>
            </w:pPr>
            <w:r w:rsidRPr="00540755">
              <w:rPr>
                <w:sz w:val="24"/>
                <w:szCs w:val="24"/>
              </w:rPr>
              <w:t>ОАО «Отель Оснабрюк»</w:t>
            </w:r>
          </w:p>
        </w:tc>
      </w:tr>
      <w:tr w:rsidR="00540755" w:rsidRPr="00540755" w:rsidTr="0089194C">
        <w:tc>
          <w:tcPr>
            <w:tcW w:w="2073" w:type="dxa"/>
          </w:tcPr>
          <w:p w:rsidR="00540755" w:rsidRPr="00540755" w:rsidRDefault="00540755" w:rsidP="00540755">
            <w:pPr>
              <w:spacing w:before="240"/>
              <w:jc w:val="both"/>
              <w:rPr>
                <w:rFonts w:eastAsiaTheme="minorEastAsia"/>
                <w:sz w:val="24"/>
                <w:szCs w:val="24"/>
              </w:rPr>
            </w:pPr>
            <w:r w:rsidRPr="00540755">
              <w:rPr>
                <w:rFonts w:eastAsiaTheme="minorEastAsia"/>
                <w:sz w:val="24"/>
                <w:szCs w:val="24"/>
              </w:rPr>
              <w:t>Интегральный критерий финансовой устойчивости</w:t>
            </w:r>
          </w:p>
        </w:tc>
        <w:tc>
          <w:tcPr>
            <w:tcW w:w="1887" w:type="dxa"/>
          </w:tcPr>
          <w:p w:rsidR="00540755" w:rsidRPr="00540755" w:rsidRDefault="00540755" w:rsidP="00540755">
            <w:pPr>
              <w:spacing w:before="240"/>
              <w:jc w:val="center"/>
              <w:rPr>
                <w:rFonts w:eastAsiaTheme="minorEastAsia"/>
                <w:sz w:val="24"/>
                <w:szCs w:val="24"/>
              </w:rPr>
            </w:pPr>
            <w:r w:rsidRPr="00540755">
              <w:rPr>
                <w:rFonts w:eastAsiaTheme="minorEastAsia"/>
                <w:sz w:val="24"/>
                <w:szCs w:val="24"/>
              </w:rPr>
              <w:t>0,18</w:t>
            </w:r>
          </w:p>
        </w:tc>
        <w:tc>
          <w:tcPr>
            <w:tcW w:w="1870" w:type="dxa"/>
          </w:tcPr>
          <w:p w:rsidR="00540755" w:rsidRPr="00540755" w:rsidRDefault="00540755" w:rsidP="00540755">
            <w:pPr>
              <w:spacing w:before="240"/>
              <w:jc w:val="center"/>
              <w:rPr>
                <w:rFonts w:eastAsiaTheme="minorEastAsia"/>
                <w:sz w:val="24"/>
                <w:szCs w:val="24"/>
              </w:rPr>
            </w:pPr>
            <w:r w:rsidRPr="00540755">
              <w:rPr>
                <w:rFonts w:eastAsiaTheme="minorEastAsia"/>
                <w:sz w:val="24"/>
                <w:szCs w:val="24"/>
              </w:rPr>
              <w:t>0,0001</w:t>
            </w:r>
          </w:p>
        </w:tc>
        <w:tc>
          <w:tcPr>
            <w:tcW w:w="1870" w:type="dxa"/>
          </w:tcPr>
          <w:p w:rsidR="00540755" w:rsidRPr="00540755" w:rsidRDefault="00540755" w:rsidP="00540755">
            <w:pPr>
              <w:spacing w:before="240"/>
              <w:jc w:val="center"/>
              <w:rPr>
                <w:rFonts w:eastAsiaTheme="minorEastAsia"/>
                <w:sz w:val="24"/>
                <w:szCs w:val="24"/>
              </w:rPr>
            </w:pPr>
            <w:r w:rsidRPr="00540755">
              <w:rPr>
                <w:rFonts w:eastAsiaTheme="minorEastAsia"/>
                <w:sz w:val="24"/>
                <w:szCs w:val="24"/>
              </w:rPr>
              <w:t>0,23</w:t>
            </w:r>
          </w:p>
        </w:tc>
        <w:tc>
          <w:tcPr>
            <w:tcW w:w="1871" w:type="dxa"/>
          </w:tcPr>
          <w:p w:rsidR="00540755" w:rsidRPr="00540755" w:rsidRDefault="00540755" w:rsidP="00540755">
            <w:pPr>
              <w:spacing w:before="240"/>
              <w:jc w:val="center"/>
              <w:rPr>
                <w:rFonts w:eastAsiaTheme="minorEastAsia"/>
                <w:sz w:val="24"/>
                <w:szCs w:val="24"/>
              </w:rPr>
            </w:pPr>
            <w:r w:rsidRPr="00540755">
              <w:rPr>
                <w:rFonts w:eastAsiaTheme="minorEastAsia"/>
                <w:sz w:val="24"/>
                <w:szCs w:val="24"/>
              </w:rPr>
              <w:t>-1,75</w:t>
            </w:r>
          </w:p>
        </w:tc>
      </w:tr>
    </w:tbl>
    <w:p w:rsidR="00540755" w:rsidRPr="00540755" w:rsidRDefault="00540755" w:rsidP="00540755">
      <w:pPr>
        <w:spacing w:line="360" w:lineRule="auto"/>
        <w:jc w:val="both"/>
        <w:rPr>
          <w:rFonts w:eastAsiaTheme="minorEastAsia"/>
          <w:sz w:val="28"/>
          <w:szCs w:val="28"/>
        </w:rPr>
      </w:pPr>
      <w:r w:rsidRPr="00540755">
        <w:rPr>
          <w:rFonts w:eastAsiaTheme="minorEastAsia"/>
          <w:sz w:val="28"/>
          <w:szCs w:val="28"/>
        </w:rPr>
        <w:t>Источник: составлено автором</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rPr>
        <w:t>В зависимости от того, какой показатель мы получили, целесообразно будет определить тип финансовой устойчивости, исходя из следующих критериев:</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lang w:val="en-US"/>
        </w:rPr>
        <w:t>J</w:t>
      </w:r>
      <w:r w:rsidRPr="00540755">
        <w:rPr>
          <w:rFonts w:eastAsiaTheme="minorEastAsia"/>
          <w:sz w:val="28"/>
          <w:szCs w:val="28"/>
        </w:rPr>
        <w:t xml:space="preserve"> от 0,9 до 0 – абсолютная финансовая неустойчивость</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lang w:val="en-US"/>
        </w:rPr>
        <w:t>J</w:t>
      </w:r>
      <w:r w:rsidRPr="00540755">
        <w:rPr>
          <w:rFonts w:eastAsiaTheme="minorEastAsia"/>
          <w:sz w:val="28"/>
          <w:szCs w:val="28"/>
        </w:rPr>
        <w:t xml:space="preserve"> от 1,9 до 1 </w:t>
      </w:r>
      <w:r w:rsidRPr="00540755">
        <w:rPr>
          <w:rFonts w:eastAsiaTheme="minorEastAsia"/>
          <w:sz w:val="28"/>
          <w:szCs w:val="28"/>
        </w:rPr>
        <w:softHyphen/>
        <w:t>– относительная финансовая неустойчивость</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lang w:val="en-US"/>
        </w:rPr>
        <w:t>J</w:t>
      </w:r>
      <w:r w:rsidRPr="00540755">
        <w:rPr>
          <w:rFonts w:eastAsiaTheme="minorEastAsia"/>
          <w:sz w:val="28"/>
          <w:szCs w:val="28"/>
        </w:rPr>
        <w:t xml:space="preserve"> от 2,4 до 2 – нормальная финансовая устойчивость</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lang w:val="en-US"/>
        </w:rPr>
        <w:t>J</w:t>
      </w:r>
      <w:r w:rsidRPr="00540755">
        <w:rPr>
          <w:rFonts w:eastAsiaTheme="minorEastAsia"/>
          <w:sz w:val="28"/>
          <w:szCs w:val="28"/>
        </w:rPr>
        <w:t xml:space="preserve"> от 3 до 2,5 – абсолютная финансовая устойчивость</w:t>
      </w:r>
    </w:p>
    <w:p w:rsidR="00540755" w:rsidRPr="00540755" w:rsidRDefault="00540755" w:rsidP="00540755">
      <w:pPr>
        <w:spacing w:line="360" w:lineRule="auto"/>
        <w:ind w:firstLine="709"/>
        <w:jc w:val="both"/>
        <w:rPr>
          <w:rFonts w:eastAsiaTheme="minorEastAsia"/>
          <w:sz w:val="28"/>
          <w:szCs w:val="28"/>
        </w:rPr>
      </w:pPr>
      <w:r w:rsidRPr="00540755">
        <w:rPr>
          <w:rFonts w:eastAsiaTheme="minorEastAsia"/>
          <w:sz w:val="28"/>
          <w:szCs w:val="28"/>
        </w:rPr>
        <w:t xml:space="preserve">Можно сделать вывод, что по методике интегрального критерия финансовой устойчивости все организации, рассматриваемые нами, входят в группу с абсолютной финансовой неустойчивостью. Но тенденции сохраняются, здесь мы также видим, что показатель финансовой устойчивости ОАО «ТПК» и ОАО «ТВЭКС» выше, чем у ОАО «ТВЗ» и ОАО </w:t>
      </w:r>
      <w:proofErr w:type="gramStart"/>
      <w:r w:rsidRPr="00540755">
        <w:rPr>
          <w:rFonts w:eastAsiaTheme="minorEastAsia"/>
          <w:sz w:val="28"/>
          <w:szCs w:val="28"/>
        </w:rPr>
        <w:t>« Отель</w:t>
      </w:r>
      <w:proofErr w:type="gramEnd"/>
      <w:r w:rsidRPr="00540755">
        <w:rPr>
          <w:rFonts w:eastAsiaTheme="minorEastAsia"/>
          <w:sz w:val="28"/>
          <w:szCs w:val="28"/>
        </w:rPr>
        <w:t xml:space="preserve"> Оснабрюк». Очень важно, при анализе финансовой устойчивости рассчитывать интегральный показатель, он позволяет осуществлять текущий контроль изменений финансовой устойчивости организаций, что в свою очередь поможет вовремя обнаружить опасные снижения финансовой устойчивости и принимать меры соответствующие меры.</w:t>
      </w:r>
    </w:p>
    <w:p w:rsidR="00353087" w:rsidRDefault="00353087" w:rsidP="00353087">
      <w:pPr>
        <w:spacing w:line="360" w:lineRule="auto"/>
        <w:contextualSpacing/>
        <w:jc w:val="both"/>
        <w:outlineLvl w:val="0"/>
        <w:rPr>
          <w:rStyle w:val="30"/>
          <w:b/>
          <w:lang w:val="ru-RU"/>
        </w:rPr>
      </w:pPr>
    </w:p>
    <w:p w:rsidR="00540755" w:rsidRDefault="00540755" w:rsidP="00353087">
      <w:pPr>
        <w:spacing w:line="360" w:lineRule="auto"/>
        <w:contextualSpacing/>
        <w:jc w:val="both"/>
        <w:outlineLvl w:val="0"/>
        <w:rPr>
          <w:rStyle w:val="30"/>
          <w:b/>
          <w:lang w:val="ru-RU"/>
        </w:rPr>
      </w:pPr>
    </w:p>
    <w:p w:rsidR="00540755" w:rsidRDefault="00540755" w:rsidP="00353087">
      <w:pPr>
        <w:spacing w:line="360" w:lineRule="auto"/>
        <w:contextualSpacing/>
        <w:jc w:val="both"/>
        <w:outlineLvl w:val="0"/>
        <w:rPr>
          <w:rStyle w:val="30"/>
          <w:b/>
          <w:lang w:val="ru-RU"/>
        </w:rPr>
      </w:pPr>
    </w:p>
    <w:p w:rsidR="00E16006" w:rsidRDefault="00E16006" w:rsidP="00353087">
      <w:pPr>
        <w:spacing w:line="360" w:lineRule="auto"/>
        <w:contextualSpacing/>
        <w:jc w:val="both"/>
        <w:outlineLvl w:val="0"/>
        <w:rPr>
          <w:rStyle w:val="30"/>
          <w:b/>
          <w:lang w:val="ru-RU"/>
        </w:rPr>
      </w:pPr>
    </w:p>
    <w:p w:rsidR="00E16006" w:rsidRDefault="00E16006" w:rsidP="00353087">
      <w:pPr>
        <w:spacing w:line="360" w:lineRule="auto"/>
        <w:contextualSpacing/>
        <w:jc w:val="both"/>
        <w:outlineLvl w:val="0"/>
        <w:rPr>
          <w:b/>
          <w:sz w:val="28"/>
        </w:rPr>
      </w:pPr>
      <w:bookmarkStart w:id="4" w:name="_Toc501735900"/>
      <w:r w:rsidRPr="0053380A">
        <w:rPr>
          <w:b/>
          <w:sz w:val="28"/>
        </w:rPr>
        <w:lastRenderedPageBreak/>
        <w:t>2. Библиографический список</w:t>
      </w:r>
      <w:bookmarkEnd w:id="4"/>
    </w:p>
    <w:p w:rsidR="00E16006" w:rsidRPr="00E16006" w:rsidRDefault="00E16006" w:rsidP="00E16006">
      <w:pPr>
        <w:pStyle w:val="ae"/>
        <w:numPr>
          <w:ilvl w:val="0"/>
          <w:numId w:val="2"/>
        </w:numPr>
        <w:spacing w:before="240"/>
        <w:ind w:left="357" w:hanging="357"/>
        <w:jc w:val="both"/>
        <w:rPr>
          <w:rFonts w:ascii="Times New Roman" w:eastAsiaTheme="minorEastAsia" w:hAnsi="Times New Roman" w:cs="Times New Roman"/>
          <w:sz w:val="28"/>
          <w:szCs w:val="28"/>
        </w:rPr>
      </w:pPr>
      <w:r w:rsidRPr="00E16006">
        <w:rPr>
          <w:rFonts w:ascii="Times New Roman" w:eastAsiaTheme="minorEastAsia" w:hAnsi="Times New Roman" w:cs="Times New Roman"/>
          <w:sz w:val="28"/>
          <w:szCs w:val="28"/>
        </w:rPr>
        <w:t xml:space="preserve">Донцова Л.В., Никифорова Н.А. Комплексный анализ бухгалтерской отчетности. 4-е изд., </w:t>
      </w:r>
      <w:proofErr w:type="spellStart"/>
      <w:r w:rsidRPr="00E16006">
        <w:rPr>
          <w:rFonts w:ascii="Times New Roman" w:eastAsiaTheme="minorEastAsia" w:hAnsi="Times New Roman" w:cs="Times New Roman"/>
          <w:sz w:val="28"/>
          <w:szCs w:val="28"/>
        </w:rPr>
        <w:t>перераб</w:t>
      </w:r>
      <w:proofErr w:type="spellEnd"/>
      <w:proofErr w:type="gramStart"/>
      <w:r w:rsidRPr="00E16006">
        <w:rPr>
          <w:rFonts w:ascii="Times New Roman" w:eastAsiaTheme="minorEastAsia" w:hAnsi="Times New Roman" w:cs="Times New Roman"/>
          <w:sz w:val="28"/>
          <w:szCs w:val="28"/>
        </w:rPr>
        <w:t>.</w:t>
      </w:r>
      <w:proofErr w:type="gramEnd"/>
      <w:r w:rsidRPr="00E16006">
        <w:rPr>
          <w:rFonts w:ascii="Times New Roman" w:eastAsiaTheme="minorEastAsia" w:hAnsi="Times New Roman" w:cs="Times New Roman"/>
          <w:sz w:val="28"/>
          <w:szCs w:val="28"/>
        </w:rPr>
        <w:t xml:space="preserve"> и доп. М.: Издательство «Дело и Сервис», 2013. – 336 с.</w:t>
      </w:r>
    </w:p>
    <w:p w:rsidR="00E16006" w:rsidRPr="00E16006" w:rsidRDefault="00E16006" w:rsidP="00E16006">
      <w:pPr>
        <w:pStyle w:val="ae"/>
        <w:numPr>
          <w:ilvl w:val="0"/>
          <w:numId w:val="2"/>
        </w:numPr>
        <w:spacing w:before="240"/>
        <w:ind w:left="357" w:hanging="357"/>
        <w:jc w:val="both"/>
        <w:rPr>
          <w:rFonts w:ascii="Times New Roman" w:eastAsiaTheme="minorEastAsia" w:hAnsi="Times New Roman" w:cs="Times New Roman"/>
          <w:sz w:val="28"/>
          <w:szCs w:val="28"/>
        </w:rPr>
      </w:pPr>
      <w:r w:rsidRPr="00E16006">
        <w:rPr>
          <w:rFonts w:ascii="Times New Roman" w:eastAsiaTheme="minorEastAsia" w:hAnsi="Times New Roman" w:cs="Times New Roman"/>
          <w:sz w:val="28"/>
          <w:szCs w:val="28"/>
        </w:rPr>
        <w:t>Бердникова Т.Б. Анализ и диагностика финансово-хозяйственной деятельности предприятия /Т.Б. Бердникова. – М.: ИНФРА-М, 2013. – 215с.</w:t>
      </w:r>
    </w:p>
    <w:p w:rsidR="00E16006" w:rsidRPr="00F96649" w:rsidRDefault="00E16006" w:rsidP="00E16006">
      <w:pPr>
        <w:pStyle w:val="ae"/>
        <w:numPr>
          <w:ilvl w:val="0"/>
          <w:numId w:val="2"/>
        </w:numPr>
        <w:spacing w:before="240"/>
        <w:ind w:left="357" w:hanging="357"/>
        <w:jc w:val="both"/>
        <w:rPr>
          <w:rFonts w:ascii="Times New Roman" w:eastAsiaTheme="minorEastAsia" w:hAnsi="Times New Roman" w:cs="Times New Roman"/>
          <w:sz w:val="24"/>
          <w:szCs w:val="24"/>
        </w:rPr>
      </w:pPr>
      <w:proofErr w:type="spellStart"/>
      <w:r w:rsidRPr="00E16006">
        <w:rPr>
          <w:rFonts w:ascii="Times New Roman" w:eastAsiaTheme="minorEastAsia" w:hAnsi="Times New Roman" w:cs="Times New Roman"/>
          <w:sz w:val="28"/>
          <w:szCs w:val="28"/>
        </w:rPr>
        <w:t>Шеремет</w:t>
      </w:r>
      <w:proofErr w:type="spellEnd"/>
      <w:r w:rsidRPr="00E16006">
        <w:rPr>
          <w:rFonts w:ascii="Times New Roman" w:eastAsiaTheme="minorEastAsia" w:hAnsi="Times New Roman" w:cs="Times New Roman"/>
          <w:sz w:val="28"/>
          <w:szCs w:val="28"/>
        </w:rPr>
        <w:t xml:space="preserve"> Д.А. Методика финансового анализа деятельности</w:t>
      </w:r>
      <w:r w:rsidRPr="006333F9">
        <w:rPr>
          <w:rFonts w:ascii="Times New Roman" w:eastAsiaTheme="minorEastAsia" w:hAnsi="Times New Roman" w:cs="Times New Roman"/>
          <w:sz w:val="24"/>
          <w:szCs w:val="24"/>
        </w:rPr>
        <w:t xml:space="preserve"> коммерческой организации / А.Д. </w:t>
      </w:r>
      <w:proofErr w:type="spellStart"/>
      <w:r w:rsidRPr="006333F9">
        <w:rPr>
          <w:rFonts w:ascii="Times New Roman" w:eastAsiaTheme="minorEastAsia" w:hAnsi="Times New Roman" w:cs="Times New Roman"/>
          <w:sz w:val="24"/>
          <w:szCs w:val="24"/>
        </w:rPr>
        <w:t>Шеремет</w:t>
      </w:r>
      <w:proofErr w:type="spellEnd"/>
      <w:r w:rsidRPr="006333F9">
        <w:rPr>
          <w:rFonts w:ascii="Times New Roman" w:eastAsiaTheme="minorEastAsia" w:hAnsi="Times New Roman" w:cs="Times New Roman"/>
          <w:sz w:val="24"/>
          <w:szCs w:val="24"/>
        </w:rPr>
        <w:t xml:space="preserve">, Е.В. </w:t>
      </w:r>
      <w:proofErr w:type="spellStart"/>
      <w:r w:rsidRPr="006333F9">
        <w:rPr>
          <w:rFonts w:ascii="Times New Roman" w:eastAsiaTheme="minorEastAsia" w:hAnsi="Times New Roman" w:cs="Times New Roman"/>
          <w:sz w:val="24"/>
          <w:szCs w:val="24"/>
        </w:rPr>
        <w:t>Негашев</w:t>
      </w:r>
      <w:proofErr w:type="spellEnd"/>
      <w:r w:rsidRPr="006333F9">
        <w:rPr>
          <w:rFonts w:ascii="Times New Roman" w:eastAsiaTheme="minorEastAsia" w:hAnsi="Times New Roman" w:cs="Times New Roman"/>
          <w:sz w:val="24"/>
          <w:szCs w:val="24"/>
        </w:rPr>
        <w:t>. М.: ИНФРА-М, 2007.</w:t>
      </w:r>
    </w:p>
    <w:p w:rsidR="00E16006" w:rsidRPr="00353087" w:rsidRDefault="00E16006" w:rsidP="00353087">
      <w:pPr>
        <w:spacing w:line="360" w:lineRule="auto"/>
        <w:contextualSpacing/>
        <w:jc w:val="both"/>
        <w:outlineLvl w:val="0"/>
        <w:rPr>
          <w:rStyle w:val="30"/>
          <w:b/>
          <w:lang w:val="ru-RU"/>
        </w:rPr>
      </w:pPr>
    </w:p>
    <w:p w:rsidR="00353087" w:rsidRPr="00353087" w:rsidRDefault="00353087" w:rsidP="00353087"/>
    <w:sectPr w:rsidR="00353087" w:rsidRPr="00353087" w:rsidSect="00E1600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0FC" w:rsidRDefault="00FD20FC" w:rsidP="00353087">
      <w:r>
        <w:separator/>
      </w:r>
    </w:p>
  </w:endnote>
  <w:endnote w:type="continuationSeparator" w:id="0">
    <w:p w:rsidR="00FD20FC" w:rsidRDefault="00FD20FC" w:rsidP="0035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05171"/>
      <w:docPartObj>
        <w:docPartGallery w:val="Page Numbers (Bottom of Page)"/>
        <w:docPartUnique/>
      </w:docPartObj>
    </w:sdtPr>
    <w:sdtEndPr/>
    <w:sdtContent>
      <w:p w:rsidR="00353087" w:rsidRDefault="00353087">
        <w:pPr>
          <w:pStyle w:val="ac"/>
          <w:jc w:val="center"/>
        </w:pPr>
        <w:r>
          <w:fldChar w:fldCharType="begin"/>
        </w:r>
        <w:r>
          <w:instrText>PAGE   \* MERGEFORMAT</w:instrText>
        </w:r>
        <w:r>
          <w:fldChar w:fldCharType="separate"/>
        </w:r>
        <w:r w:rsidR="00765900">
          <w:rPr>
            <w:noProof/>
          </w:rPr>
          <w:t>2</w:t>
        </w:r>
        <w:r>
          <w:fldChar w:fldCharType="end"/>
        </w:r>
      </w:p>
    </w:sdtContent>
  </w:sdt>
  <w:p w:rsidR="00353087" w:rsidRDefault="003530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0FC" w:rsidRDefault="00FD20FC" w:rsidP="00353087">
      <w:r>
        <w:separator/>
      </w:r>
    </w:p>
  </w:footnote>
  <w:footnote w:type="continuationSeparator" w:id="0">
    <w:p w:rsidR="00FD20FC" w:rsidRDefault="00FD20FC" w:rsidP="0035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5DB2"/>
    <w:multiLevelType w:val="hybridMultilevel"/>
    <w:tmpl w:val="A40E28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D5C059E"/>
    <w:multiLevelType w:val="multilevel"/>
    <w:tmpl w:val="43C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52F30"/>
    <w:multiLevelType w:val="hybridMultilevel"/>
    <w:tmpl w:val="5E0EB318"/>
    <w:lvl w:ilvl="0" w:tplc="E65CF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87"/>
    <w:rsid w:val="00022228"/>
    <w:rsid w:val="00353087"/>
    <w:rsid w:val="004B1398"/>
    <w:rsid w:val="00540755"/>
    <w:rsid w:val="00546E1A"/>
    <w:rsid w:val="00765900"/>
    <w:rsid w:val="0077275B"/>
    <w:rsid w:val="00B704B3"/>
    <w:rsid w:val="00E16006"/>
    <w:rsid w:val="00FD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559A4-8441-4C01-822E-1377212C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0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530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qFormat/>
    <w:rsid w:val="00353087"/>
    <w:pPr>
      <w:keepNext/>
      <w:widowControl/>
      <w:autoSpaceDE/>
      <w:autoSpaceDN/>
      <w:adjustRightInd/>
      <w:jc w:val="center"/>
      <w:outlineLvl w:val="2"/>
    </w:pPr>
    <w:rPr>
      <w:sz w:val="2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53087"/>
    <w:rPr>
      <w:rFonts w:ascii="Times New Roman" w:eastAsia="Times New Roman" w:hAnsi="Times New Roman" w:cs="Times New Roman"/>
      <w:sz w:val="28"/>
      <w:szCs w:val="24"/>
      <w:lang w:val="x-none" w:eastAsia="ru-RU"/>
    </w:rPr>
  </w:style>
  <w:style w:type="paragraph" w:styleId="a3">
    <w:name w:val="Body Text Indent"/>
    <w:basedOn w:val="a"/>
    <w:link w:val="a4"/>
    <w:rsid w:val="00353087"/>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basedOn w:val="a0"/>
    <w:link w:val="a3"/>
    <w:rsid w:val="00353087"/>
    <w:rPr>
      <w:rFonts w:ascii="Arial" w:eastAsia="Times New Roman" w:hAnsi="Arial" w:cs="Times New Roman"/>
      <w:sz w:val="24"/>
      <w:szCs w:val="24"/>
      <w:lang w:val="x-none" w:eastAsia="ru-RU"/>
    </w:rPr>
  </w:style>
  <w:style w:type="paragraph" w:customStyle="1" w:styleId="FR1">
    <w:name w:val="FR1"/>
    <w:rsid w:val="00353087"/>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character" w:customStyle="1" w:styleId="10">
    <w:name w:val="Заголовок 1 Знак"/>
    <w:basedOn w:val="a0"/>
    <w:link w:val="1"/>
    <w:uiPriority w:val="9"/>
    <w:rsid w:val="00353087"/>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semiHidden/>
    <w:unhideWhenUsed/>
    <w:qFormat/>
    <w:rsid w:val="00353087"/>
    <w:pPr>
      <w:widowControl/>
      <w:autoSpaceDE/>
      <w:autoSpaceDN/>
      <w:adjustRightInd/>
      <w:spacing w:before="480" w:line="276" w:lineRule="auto"/>
      <w:outlineLvl w:val="9"/>
    </w:pPr>
    <w:rPr>
      <w:rFonts w:ascii="Cambria" w:eastAsia="Times New Roman" w:hAnsi="Cambria" w:cs="Times New Roman"/>
      <w:b/>
      <w:bCs/>
      <w:color w:val="365F91"/>
      <w:sz w:val="28"/>
      <w:szCs w:val="28"/>
    </w:rPr>
  </w:style>
  <w:style w:type="paragraph" w:styleId="31">
    <w:name w:val="toc 3"/>
    <w:basedOn w:val="a"/>
    <w:next w:val="a"/>
    <w:autoRedefine/>
    <w:uiPriority w:val="39"/>
    <w:unhideWhenUsed/>
    <w:rsid w:val="00353087"/>
    <w:pPr>
      <w:ind w:left="400"/>
    </w:pPr>
  </w:style>
  <w:style w:type="character" w:styleId="a6">
    <w:name w:val="Hyperlink"/>
    <w:uiPriority w:val="99"/>
    <w:unhideWhenUsed/>
    <w:rsid w:val="00353087"/>
    <w:rPr>
      <w:color w:val="0000FF"/>
      <w:u w:val="single"/>
    </w:rPr>
  </w:style>
  <w:style w:type="paragraph" w:styleId="11">
    <w:name w:val="toc 1"/>
    <w:basedOn w:val="a"/>
    <w:next w:val="a"/>
    <w:autoRedefine/>
    <w:uiPriority w:val="39"/>
    <w:unhideWhenUsed/>
    <w:rsid w:val="00353087"/>
  </w:style>
  <w:style w:type="table" w:styleId="a7">
    <w:name w:val="Table Grid"/>
    <w:basedOn w:val="a1"/>
    <w:uiPriority w:val="59"/>
    <w:rsid w:val="003530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unhideWhenUsed/>
    <w:rsid w:val="00353087"/>
    <w:pPr>
      <w:widowControl/>
      <w:autoSpaceDE/>
      <w:autoSpaceDN/>
      <w:adjustRightInd/>
      <w:spacing w:before="100" w:beforeAutospacing="1" w:after="100" w:afterAutospacing="1"/>
    </w:pPr>
    <w:rPr>
      <w:sz w:val="24"/>
      <w:szCs w:val="24"/>
    </w:rPr>
  </w:style>
  <w:style w:type="character" w:styleId="a9">
    <w:name w:val="Emphasis"/>
    <w:basedOn w:val="a0"/>
    <w:uiPriority w:val="20"/>
    <w:qFormat/>
    <w:rsid w:val="00353087"/>
    <w:rPr>
      <w:i/>
      <w:iCs/>
    </w:rPr>
  </w:style>
  <w:style w:type="paragraph" w:styleId="aa">
    <w:name w:val="header"/>
    <w:basedOn w:val="a"/>
    <w:link w:val="ab"/>
    <w:uiPriority w:val="99"/>
    <w:unhideWhenUsed/>
    <w:rsid w:val="00353087"/>
    <w:pPr>
      <w:tabs>
        <w:tab w:val="center" w:pos="4677"/>
        <w:tab w:val="right" w:pos="9355"/>
      </w:tabs>
    </w:pPr>
  </w:style>
  <w:style w:type="character" w:customStyle="1" w:styleId="ab">
    <w:name w:val="Верхний колонтитул Знак"/>
    <w:basedOn w:val="a0"/>
    <w:link w:val="aa"/>
    <w:uiPriority w:val="99"/>
    <w:rsid w:val="00353087"/>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53087"/>
    <w:pPr>
      <w:tabs>
        <w:tab w:val="center" w:pos="4677"/>
        <w:tab w:val="right" w:pos="9355"/>
      </w:tabs>
    </w:pPr>
  </w:style>
  <w:style w:type="character" w:customStyle="1" w:styleId="ad">
    <w:name w:val="Нижний колонтитул Знак"/>
    <w:basedOn w:val="a0"/>
    <w:link w:val="ac"/>
    <w:uiPriority w:val="99"/>
    <w:rsid w:val="00353087"/>
    <w:rPr>
      <w:rFonts w:ascii="Times New Roman" w:eastAsia="Times New Roman" w:hAnsi="Times New Roman" w:cs="Times New Roman"/>
      <w:sz w:val="20"/>
      <w:szCs w:val="20"/>
      <w:lang w:eastAsia="ru-RU"/>
    </w:rPr>
  </w:style>
  <w:style w:type="paragraph" w:styleId="ae">
    <w:name w:val="List Paragraph"/>
    <w:basedOn w:val="a"/>
    <w:uiPriority w:val="34"/>
    <w:qFormat/>
    <w:rsid w:val="00E16006"/>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54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fin.ru/?id=281&amp;t=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1996</Words>
  <Characters>11382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Данилов</dc:creator>
  <cp:keywords/>
  <dc:description/>
  <cp:lastModifiedBy>fus245</cp:lastModifiedBy>
  <cp:revision>7</cp:revision>
  <dcterms:created xsi:type="dcterms:W3CDTF">2018-01-19T22:18:00Z</dcterms:created>
  <dcterms:modified xsi:type="dcterms:W3CDTF">2018-02-20T08:58:00Z</dcterms:modified>
</cp:coreProperties>
</file>