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35" w:rsidRDefault="00C53735" w:rsidP="00C53735">
      <w:pPr>
        <w:jc w:val="center"/>
        <w:rPr>
          <w:rFonts w:ascii="Times New Roman" w:hAnsi="Times New Roman"/>
          <w:sz w:val="32"/>
          <w:szCs w:val="32"/>
        </w:rPr>
      </w:pPr>
    </w:p>
    <w:p w:rsidR="00C53735" w:rsidRPr="00C53735" w:rsidRDefault="00C53735" w:rsidP="00C53735">
      <w:pPr>
        <w:spacing w:after="0" w:line="360" w:lineRule="auto"/>
        <w:ind w:left="454" w:firstLine="709"/>
        <w:jc w:val="both"/>
        <w:rPr>
          <w:rFonts w:ascii="Times New Roman" w:hAnsi="Times New Roman" w:cs="Times New Roman"/>
          <w:color w:val="000000"/>
          <w:sz w:val="28"/>
          <w:szCs w:val="28"/>
          <w:shd w:val="clear" w:color="auto" w:fill="FFFFFF"/>
        </w:rPr>
      </w:pPr>
      <w:r w:rsidRPr="00C53735">
        <w:rPr>
          <w:rFonts w:ascii="Times New Roman" w:hAnsi="Times New Roman" w:cs="Times New Roman"/>
          <w:color w:val="000000"/>
          <w:sz w:val="28"/>
          <w:szCs w:val="28"/>
          <w:shd w:val="clear" w:color="auto" w:fill="FFFFFF"/>
        </w:rPr>
        <w:t>УДК</w:t>
      </w:r>
    </w:p>
    <w:p w:rsidR="008E1E68" w:rsidRDefault="008E1E68" w:rsidP="008E1E68">
      <w:pPr>
        <w:spacing w:after="0" w:line="360" w:lineRule="auto"/>
        <w:ind w:firstLine="709"/>
        <w:contextualSpacing/>
        <w:jc w:val="center"/>
        <w:rPr>
          <w:rFonts w:ascii="Times New Roman" w:hAnsi="Times New Roman" w:cs="Times New Roman"/>
          <w:b/>
          <w:caps/>
          <w:color w:val="000000" w:themeColor="text1"/>
          <w:sz w:val="28"/>
          <w:szCs w:val="28"/>
        </w:rPr>
      </w:pPr>
      <w:r w:rsidRPr="00D95EEF">
        <w:rPr>
          <w:rFonts w:ascii="Times New Roman" w:hAnsi="Times New Roman" w:cs="Times New Roman"/>
          <w:b/>
          <w:caps/>
          <w:color w:val="000000" w:themeColor="text1"/>
          <w:sz w:val="28"/>
          <w:szCs w:val="28"/>
        </w:rPr>
        <w:t>ПО</w:t>
      </w:r>
      <w:bookmarkStart w:id="0" w:name="_GoBack"/>
      <w:bookmarkEnd w:id="0"/>
      <w:r w:rsidRPr="00D95EEF">
        <w:rPr>
          <w:rFonts w:ascii="Times New Roman" w:hAnsi="Times New Roman" w:cs="Times New Roman"/>
          <w:b/>
          <w:caps/>
          <w:color w:val="000000" w:themeColor="text1"/>
          <w:sz w:val="28"/>
          <w:szCs w:val="28"/>
        </w:rPr>
        <w:t>ДСЛЕДСТВЕННОСТЬ КОРПОРАТИВНЫХ СПОРОВ</w:t>
      </w:r>
    </w:p>
    <w:p w:rsidR="008E1E68" w:rsidRDefault="008E1E68" w:rsidP="008E1E68">
      <w:pPr>
        <w:spacing w:after="0" w:line="360" w:lineRule="auto"/>
        <w:ind w:firstLine="709"/>
        <w:contextualSpacing/>
        <w:jc w:val="center"/>
        <w:rPr>
          <w:rFonts w:ascii="Times New Roman" w:hAnsi="Times New Roman" w:cs="Times New Roman"/>
          <w:b/>
          <w:caps/>
          <w:color w:val="000000" w:themeColor="text1"/>
          <w:sz w:val="28"/>
          <w:szCs w:val="28"/>
        </w:rPr>
      </w:pPr>
    </w:p>
    <w:p w:rsidR="008E1E68" w:rsidRPr="00C53735" w:rsidRDefault="008E1E68" w:rsidP="008E1E68">
      <w:pPr>
        <w:spacing w:after="0" w:line="360" w:lineRule="auto"/>
        <w:ind w:left="454"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Яна Эдуардовна </w:t>
      </w:r>
      <w:proofErr w:type="spellStart"/>
      <w:r>
        <w:rPr>
          <w:rFonts w:ascii="Times New Roman" w:hAnsi="Times New Roman" w:cs="Times New Roman"/>
          <w:b/>
          <w:color w:val="000000"/>
          <w:sz w:val="28"/>
          <w:szCs w:val="28"/>
          <w:shd w:val="clear" w:color="auto" w:fill="FFFFFF"/>
        </w:rPr>
        <w:t>Сабат</w:t>
      </w:r>
      <w:proofErr w:type="spellEnd"/>
    </w:p>
    <w:p w:rsidR="008E1E68" w:rsidRPr="00473354" w:rsidRDefault="008E1E68" w:rsidP="008E1E68">
      <w:pPr>
        <w:spacing w:after="0"/>
        <w:jc w:val="center"/>
        <w:rPr>
          <w:rFonts w:ascii="Times New Roman" w:hAnsi="Times New Roman"/>
          <w:sz w:val="28"/>
          <w:szCs w:val="28"/>
        </w:rPr>
      </w:pPr>
      <w:r w:rsidRPr="00EB1A3F">
        <w:rPr>
          <w:rFonts w:ascii="Times New Roman" w:hAnsi="Times New Roman"/>
          <w:sz w:val="28"/>
          <w:szCs w:val="28"/>
        </w:rPr>
        <w:t xml:space="preserve">ФГБОУ </w:t>
      </w:r>
      <w:proofErr w:type="gramStart"/>
      <w:r w:rsidRPr="00EB1A3F">
        <w:rPr>
          <w:rFonts w:ascii="Times New Roman" w:hAnsi="Times New Roman"/>
          <w:sz w:val="28"/>
          <w:szCs w:val="28"/>
        </w:rPr>
        <w:t>ВО</w:t>
      </w:r>
      <w:proofErr w:type="gramEnd"/>
      <w:r w:rsidRPr="00EB1A3F">
        <w:rPr>
          <w:rFonts w:ascii="Times New Roman" w:hAnsi="Times New Roman"/>
          <w:sz w:val="28"/>
          <w:szCs w:val="28"/>
        </w:rPr>
        <w:t xml:space="preserve"> «Тверской государственный университет»</w:t>
      </w:r>
    </w:p>
    <w:p w:rsidR="008E1E68" w:rsidRPr="00D95EEF" w:rsidRDefault="008E1E68" w:rsidP="008E1E68">
      <w:pPr>
        <w:spacing w:after="0" w:line="360" w:lineRule="auto"/>
        <w:ind w:firstLine="709"/>
        <w:contextualSpacing/>
        <w:jc w:val="both"/>
        <w:rPr>
          <w:rFonts w:ascii="Times New Roman" w:hAnsi="Times New Roman" w:cs="Times New Roman"/>
          <w:caps/>
          <w:color w:val="000000" w:themeColor="text1"/>
          <w:sz w:val="28"/>
          <w:szCs w:val="28"/>
        </w:rPr>
      </w:pPr>
    </w:p>
    <w:p w:rsidR="008E1E68" w:rsidRPr="00D95EEF" w:rsidRDefault="008E1E68" w:rsidP="008E1E68">
      <w:pPr>
        <w:spacing w:after="0" w:line="360" w:lineRule="auto"/>
        <w:ind w:firstLine="709"/>
        <w:contextualSpacing/>
        <w:jc w:val="both"/>
        <w:rPr>
          <w:rFonts w:ascii="Times New Roman" w:hAnsi="Times New Roman" w:cs="Times New Roman"/>
          <w:color w:val="000000" w:themeColor="text1"/>
          <w:sz w:val="28"/>
          <w:szCs w:val="28"/>
        </w:rPr>
      </w:pPr>
      <w:r w:rsidRPr="00D95EEF">
        <w:rPr>
          <w:rFonts w:ascii="Times New Roman" w:hAnsi="Times New Roman" w:cs="Times New Roman"/>
          <w:b/>
          <w:caps/>
          <w:color w:val="000000" w:themeColor="text1"/>
          <w:sz w:val="28"/>
          <w:szCs w:val="28"/>
        </w:rPr>
        <w:t>Аннотация.</w:t>
      </w:r>
      <w:r w:rsidRPr="00D95EEF">
        <w:rPr>
          <w:rFonts w:ascii="Times New Roman" w:hAnsi="Times New Roman" w:cs="Times New Roman"/>
          <w:color w:val="000000" w:themeColor="text1"/>
          <w:sz w:val="28"/>
          <w:szCs w:val="28"/>
        </w:rPr>
        <w:t xml:space="preserve"> В статье выявлены отдельные категории корпоративных споров, вопрос подведомственности которых до настоящего времени однозначно не решен. Определены проблемы отнесения данных споров к ведению арбитражных судов либо судов общей юрисдикции. Осуществлен анализ судебной практики по вопросам рассмотрения корпоративных споров.</w:t>
      </w:r>
    </w:p>
    <w:p w:rsidR="008E1E68" w:rsidRPr="00D95EEF" w:rsidRDefault="008E1E68" w:rsidP="008E1E68">
      <w:pPr>
        <w:spacing w:after="0" w:line="360" w:lineRule="auto"/>
        <w:ind w:firstLine="709"/>
        <w:contextualSpacing/>
        <w:rPr>
          <w:rFonts w:ascii="Times New Roman" w:hAnsi="Times New Roman" w:cs="Times New Roman"/>
          <w:color w:val="000000" w:themeColor="text1"/>
          <w:sz w:val="28"/>
          <w:szCs w:val="28"/>
        </w:rPr>
      </w:pPr>
      <w:r w:rsidRPr="00D95EEF">
        <w:rPr>
          <w:rFonts w:ascii="Times New Roman" w:hAnsi="Times New Roman" w:cs="Times New Roman"/>
          <w:b/>
          <w:caps/>
          <w:color w:val="000000" w:themeColor="text1"/>
          <w:sz w:val="28"/>
          <w:szCs w:val="28"/>
        </w:rPr>
        <w:t>Ключевые слова.</w:t>
      </w:r>
      <w:r>
        <w:rPr>
          <w:rFonts w:ascii="Times New Roman" w:hAnsi="Times New Roman" w:cs="Times New Roman"/>
          <w:b/>
          <w:caps/>
          <w:color w:val="000000" w:themeColor="text1"/>
          <w:sz w:val="28"/>
          <w:szCs w:val="28"/>
        </w:rPr>
        <w:t xml:space="preserve"> </w:t>
      </w:r>
      <w:r w:rsidRPr="00D95EEF">
        <w:rPr>
          <w:rFonts w:ascii="Times New Roman" w:hAnsi="Times New Roman" w:cs="Times New Roman"/>
          <w:color w:val="000000" w:themeColor="text1"/>
          <w:sz w:val="28"/>
          <w:szCs w:val="28"/>
        </w:rPr>
        <w:t xml:space="preserve"> </w:t>
      </w:r>
      <w:r w:rsidRPr="008E1E68">
        <w:rPr>
          <w:rFonts w:ascii="Times New Roman" w:hAnsi="Times New Roman" w:cs="Times New Roman"/>
          <w:i/>
          <w:color w:val="000000" w:themeColor="text1"/>
          <w:sz w:val="28"/>
          <w:szCs w:val="28"/>
        </w:rPr>
        <w:t>Подведомственность, подсудность, корпоративный спор, судебная власть, суд общей юрисдикции, арбитражный суд, третейский суд.</w:t>
      </w:r>
    </w:p>
    <w:p w:rsidR="008E1E68" w:rsidRPr="00D95EEF" w:rsidRDefault="008E1E68" w:rsidP="008E1E68">
      <w:pPr>
        <w:spacing w:after="0" w:line="360" w:lineRule="auto"/>
        <w:ind w:firstLine="709"/>
        <w:contextualSpacing/>
        <w:jc w:val="both"/>
        <w:rPr>
          <w:rFonts w:ascii="Times New Roman" w:hAnsi="Times New Roman" w:cs="Times New Roman"/>
          <w:color w:val="000000" w:themeColor="text1"/>
          <w:sz w:val="28"/>
          <w:szCs w:val="28"/>
        </w:rPr>
      </w:pPr>
      <w:r w:rsidRPr="00D95EEF">
        <w:rPr>
          <w:rFonts w:ascii="Times New Roman" w:hAnsi="Times New Roman" w:cs="Times New Roman"/>
          <w:color w:val="000000" w:themeColor="text1"/>
          <w:sz w:val="28"/>
          <w:szCs w:val="28"/>
        </w:rPr>
        <w:t xml:space="preserve">Наиболее остро проблема определения подведомственности дел между судами общей юрисдикции и арбитражными судами встала в отношении корпоративных споров – споров, вытекающих из хозяйственной деятельности экономических субъектов. Длительный период споры могли рассматриваться как судами общей юрисдикции, так и арбитражными судами, к примеру, в таких случаях, когда в качестве стороны по делу выступал гражданин, не имеющий статуса индивидуального предпринимателя (акционер). </w:t>
      </w:r>
    </w:p>
    <w:p w:rsidR="008E1E68" w:rsidRPr="00D95EEF" w:rsidRDefault="008E1E68" w:rsidP="008E1E68">
      <w:pPr>
        <w:spacing w:after="0" w:line="360" w:lineRule="auto"/>
        <w:ind w:firstLine="709"/>
        <w:contextualSpacing/>
        <w:jc w:val="both"/>
        <w:rPr>
          <w:rFonts w:ascii="Times New Roman" w:hAnsi="Times New Roman" w:cs="Times New Roman"/>
          <w:color w:val="000000" w:themeColor="text1"/>
          <w:sz w:val="28"/>
          <w:szCs w:val="28"/>
        </w:rPr>
      </w:pPr>
      <w:r w:rsidRPr="00D95EEF">
        <w:rPr>
          <w:rFonts w:ascii="Times New Roman" w:hAnsi="Times New Roman" w:cs="Times New Roman"/>
          <w:color w:val="000000" w:themeColor="text1"/>
          <w:sz w:val="28"/>
          <w:szCs w:val="28"/>
        </w:rPr>
        <w:t xml:space="preserve">Значимость изучения проблем подведомственности корпоративных споров обусловлена необходимостью бесспорного разделения множества дел, обладающими признаками корпоративных споров в разрезе </w:t>
      </w:r>
      <w:proofErr w:type="spellStart"/>
      <w:r w:rsidRPr="00D95EEF">
        <w:rPr>
          <w:rFonts w:ascii="Times New Roman" w:hAnsi="Times New Roman" w:cs="Times New Roman"/>
          <w:color w:val="000000" w:themeColor="text1"/>
          <w:sz w:val="28"/>
          <w:szCs w:val="28"/>
        </w:rPr>
        <w:t>относимости</w:t>
      </w:r>
      <w:proofErr w:type="spellEnd"/>
      <w:r w:rsidRPr="00D95EEF">
        <w:rPr>
          <w:rFonts w:ascii="Times New Roman" w:hAnsi="Times New Roman" w:cs="Times New Roman"/>
          <w:color w:val="000000" w:themeColor="text1"/>
          <w:sz w:val="28"/>
          <w:szCs w:val="28"/>
        </w:rPr>
        <w:t xml:space="preserve"> данных дел к ведению арбитражных судов либо судов общей юрисдикции. </w:t>
      </w:r>
    </w:p>
    <w:p w:rsidR="008E1E68" w:rsidRPr="00D95EEF" w:rsidRDefault="008E1E68" w:rsidP="008E1E68">
      <w:pPr>
        <w:spacing w:after="0" w:line="360" w:lineRule="auto"/>
        <w:ind w:firstLine="709"/>
        <w:contextualSpacing/>
        <w:jc w:val="both"/>
        <w:rPr>
          <w:rFonts w:ascii="Times New Roman" w:hAnsi="Times New Roman" w:cs="Times New Roman"/>
          <w:color w:val="000000" w:themeColor="text1"/>
          <w:sz w:val="28"/>
          <w:szCs w:val="28"/>
        </w:rPr>
      </w:pPr>
      <w:r w:rsidRPr="00D95EEF">
        <w:rPr>
          <w:rFonts w:ascii="Times New Roman" w:hAnsi="Times New Roman" w:cs="Times New Roman"/>
          <w:color w:val="000000" w:themeColor="text1"/>
          <w:sz w:val="28"/>
          <w:szCs w:val="28"/>
        </w:rPr>
        <w:t xml:space="preserve">В настоящий момент, несмотря на совершенствование процессуального законодательства, все вопросы подведомственности, возникающие при рассмотрении корпоративных споров, полностью не разрешены.  </w:t>
      </w:r>
    </w:p>
    <w:p w:rsidR="008E1E68" w:rsidRPr="00D95EEF" w:rsidRDefault="008E1E68" w:rsidP="008E1E68">
      <w:pPr>
        <w:spacing w:after="0" w:line="360" w:lineRule="auto"/>
        <w:ind w:firstLine="709"/>
        <w:contextualSpacing/>
        <w:jc w:val="both"/>
        <w:rPr>
          <w:rFonts w:ascii="Times New Roman" w:hAnsi="Times New Roman" w:cs="Times New Roman"/>
          <w:color w:val="000000" w:themeColor="text1"/>
          <w:sz w:val="28"/>
          <w:szCs w:val="28"/>
        </w:rPr>
      </w:pPr>
      <w:proofErr w:type="gramStart"/>
      <w:r w:rsidRPr="00D95EEF">
        <w:rPr>
          <w:rFonts w:ascii="Times New Roman" w:hAnsi="Times New Roman" w:cs="Times New Roman"/>
          <w:color w:val="000000" w:themeColor="text1"/>
          <w:sz w:val="28"/>
          <w:szCs w:val="28"/>
        </w:rPr>
        <w:lastRenderedPageBreak/>
        <w:t xml:space="preserve">Определение корпоративных споров можно построить на основании ст. 225.1 АПК РФ) [1]. </w:t>
      </w:r>
      <w:proofErr w:type="gramEnd"/>
    </w:p>
    <w:p w:rsidR="008E1E68" w:rsidRPr="00D95EEF" w:rsidRDefault="008E1E68" w:rsidP="008E1E68">
      <w:pPr>
        <w:spacing w:after="0" w:line="360" w:lineRule="auto"/>
        <w:ind w:firstLine="709"/>
        <w:contextualSpacing/>
        <w:jc w:val="both"/>
        <w:rPr>
          <w:rFonts w:ascii="Times New Roman" w:hAnsi="Times New Roman" w:cs="Times New Roman"/>
          <w:color w:val="000000" w:themeColor="text1"/>
          <w:sz w:val="28"/>
          <w:szCs w:val="28"/>
        </w:rPr>
      </w:pPr>
      <w:r w:rsidRPr="00D95EEF">
        <w:rPr>
          <w:rFonts w:ascii="Times New Roman" w:hAnsi="Times New Roman" w:cs="Times New Roman"/>
          <w:color w:val="000000" w:themeColor="text1"/>
          <w:sz w:val="28"/>
          <w:szCs w:val="28"/>
        </w:rPr>
        <w:t xml:space="preserve">Споры, связанные с созданием, реорганизацией, ликвидацией, управлением хозяйствующего субъекта, взаимоотношениями юридического лица с </w:t>
      </w:r>
      <w:proofErr w:type="spellStart"/>
      <w:r w:rsidRPr="00D95EEF">
        <w:rPr>
          <w:rFonts w:ascii="Times New Roman" w:hAnsi="Times New Roman" w:cs="Times New Roman"/>
          <w:color w:val="000000" w:themeColor="text1"/>
          <w:sz w:val="28"/>
          <w:szCs w:val="28"/>
        </w:rPr>
        <w:t>реестродержателем</w:t>
      </w:r>
      <w:proofErr w:type="spellEnd"/>
      <w:r w:rsidRPr="00D95EEF">
        <w:rPr>
          <w:rFonts w:ascii="Times New Roman" w:hAnsi="Times New Roman" w:cs="Times New Roman"/>
          <w:color w:val="000000" w:themeColor="text1"/>
          <w:sz w:val="28"/>
          <w:szCs w:val="28"/>
        </w:rPr>
        <w:t>, а также государственными (муниципальными) органами по вопросам выпуска ценных бумаг, принадлежностью акций или долей в уставном капитале, о возмещении убытков, причиненных организации, о созыве общего собрания акционеров компании, можно назвать корпоративными.</w:t>
      </w:r>
    </w:p>
    <w:p w:rsidR="008E1E68" w:rsidRPr="00D95EEF" w:rsidRDefault="008E1E68" w:rsidP="008E1E68">
      <w:pPr>
        <w:spacing w:after="0" w:line="360" w:lineRule="auto"/>
        <w:ind w:firstLine="709"/>
        <w:contextualSpacing/>
        <w:jc w:val="both"/>
        <w:rPr>
          <w:rFonts w:ascii="Times New Roman" w:hAnsi="Times New Roman" w:cs="Times New Roman"/>
          <w:color w:val="000000" w:themeColor="text1"/>
          <w:sz w:val="28"/>
          <w:szCs w:val="28"/>
        </w:rPr>
      </w:pPr>
      <w:r w:rsidRPr="00D95EEF">
        <w:rPr>
          <w:rFonts w:ascii="Times New Roman" w:hAnsi="Times New Roman" w:cs="Times New Roman"/>
          <w:color w:val="000000" w:themeColor="text1"/>
          <w:sz w:val="28"/>
          <w:szCs w:val="28"/>
        </w:rPr>
        <w:t>Очередным шагом на пути решения проблемы подведомственности корпоративных споров стало внесение изменений в АПК РФ в июле 2009 года, направленных на формирование нового процессуального механизма судебного разрешения корпоративных споров.</w:t>
      </w:r>
    </w:p>
    <w:p w:rsidR="008E1E68" w:rsidRPr="00D95EEF" w:rsidRDefault="008E1E68" w:rsidP="008E1E68">
      <w:pPr>
        <w:spacing w:after="0" w:line="360" w:lineRule="auto"/>
        <w:ind w:firstLine="709"/>
        <w:contextualSpacing/>
        <w:jc w:val="both"/>
        <w:rPr>
          <w:rFonts w:ascii="Times New Roman" w:hAnsi="Times New Roman" w:cs="Times New Roman"/>
          <w:color w:val="000000" w:themeColor="text1"/>
          <w:sz w:val="28"/>
          <w:szCs w:val="28"/>
        </w:rPr>
      </w:pPr>
      <w:r w:rsidRPr="00D95EEF">
        <w:rPr>
          <w:rFonts w:ascii="Times New Roman" w:hAnsi="Times New Roman" w:cs="Times New Roman"/>
          <w:color w:val="000000" w:themeColor="text1"/>
          <w:sz w:val="28"/>
          <w:szCs w:val="28"/>
        </w:rPr>
        <w:t xml:space="preserve"> </w:t>
      </w:r>
      <w:proofErr w:type="gramStart"/>
      <w:r w:rsidRPr="00D95EEF">
        <w:rPr>
          <w:rFonts w:ascii="Times New Roman" w:hAnsi="Times New Roman" w:cs="Times New Roman"/>
          <w:color w:val="000000" w:themeColor="text1"/>
          <w:sz w:val="28"/>
          <w:szCs w:val="28"/>
        </w:rPr>
        <w:t xml:space="preserve">В соответствии с Главой 28.1 «Рассмотрение дел по корпоративным спорам» законодательно определена специальная подведомственность корпоративных споров арбитражным судам [1, п. 2 ч. 6 ст. 27], а также установлена исключительная подсудность, которая императивно определяется по местонахождению юридического лица, в связи с созданием, управлением или участием в котором возник соответствующий спор [1,  ч. 4.1 ст. 38]. </w:t>
      </w:r>
      <w:proofErr w:type="gramEnd"/>
    </w:p>
    <w:p w:rsidR="008E1E68" w:rsidRPr="00D95EEF" w:rsidRDefault="008E1E68" w:rsidP="008E1E68">
      <w:pPr>
        <w:spacing w:after="0" w:line="360" w:lineRule="auto"/>
        <w:ind w:firstLine="709"/>
        <w:contextualSpacing/>
        <w:jc w:val="both"/>
        <w:rPr>
          <w:rFonts w:ascii="Times New Roman" w:hAnsi="Times New Roman" w:cs="Times New Roman"/>
          <w:color w:val="000000" w:themeColor="text1"/>
          <w:sz w:val="28"/>
          <w:szCs w:val="28"/>
        </w:rPr>
      </w:pPr>
      <w:r w:rsidRPr="00D95EEF">
        <w:rPr>
          <w:rFonts w:ascii="Times New Roman" w:hAnsi="Times New Roman" w:cs="Times New Roman"/>
          <w:color w:val="000000" w:themeColor="text1"/>
          <w:sz w:val="28"/>
          <w:szCs w:val="28"/>
        </w:rPr>
        <w:t xml:space="preserve">Одной из причин, обосновывающих своевременность данных изменений, являлась необходимость решения проблем рейдерских захватов. В качестве средств достижения собственных целей рейдеры использовали несколько параллельных судебных процессов по оспариванию тех или иных корпоративных решений (причем </w:t>
      </w:r>
      <w:proofErr w:type="gramStart"/>
      <w:r w:rsidRPr="00D95EEF">
        <w:rPr>
          <w:rFonts w:ascii="Times New Roman" w:hAnsi="Times New Roman" w:cs="Times New Roman"/>
          <w:color w:val="000000" w:themeColor="text1"/>
          <w:sz w:val="28"/>
          <w:szCs w:val="28"/>
        </w:rPr>
        <w:t>не</w:t>
      </w:r>
      <w:proofErr w:type="gramEnd"/>
      <w:r w:rsidRPr="00D95EEF">
        <w:rPr>
          <w:rFonts w:ascii="Times New Roman" w:hAnsi="Times New Roman" w:cs="Times New Roman"/>
          <w:color w:val="000000" w:themeColor="text1"/>
          <w:sz w:val="28"/>
          <w:szCs w:val="28"/>
        </w:rPr>
        <w:t xml:space="preserve"> только в арбитражных судах, но и в судах общей юрисдикции), применяли решения судов, находящихся в других (удаленных) субъектах РФ, применяли обеспечительные меры с целью заблокировать деятельность компании. Но даже если оставить «за скобками» профилактику </w:t>
      </w:r>
      <w:proofErr w:type="spellStart"/>
      <w:r w:rsidRPr="00D95EEF">
        <w:rPr>
          <w:rFonts w:ascii="Times New Roman" w:hAnsi="Times New Roman" w:cs="Times New Roman"/>
          <w:color w:val="000000" w:themeColor="text1"/>
          <w:sz w:val="28"/>
          <w:szCs w:val="28"/>
        </w:rPr>
        <w:t>рейдерства</w:t>
      </w:r>
      <w:proofErr w:type="spellEnd"/>
      <w:r w:rsidRPr="00D95EEF">
        <w:rPr>
          <w:rFonts w:ascii="Times New Roman" w:hAnsi="Times New Roman" w:cs="Times New Roman"/>
          <w:color w:val="000000" w:themeColor="text1"/>
          <w:sz w:val="28"/>
          <w:szCs w:val="28"/>
        </w:rPr>
        <w:t xml:space="preserve">, совершенствование законодательства о подведомственности корпоративных споров необходимо для упорядочивания множества вопросов, возникающих в рамках разрешения споров, связанных с текущим управлением </w:t>
      </w:r>
      <w:r w:rsidRPr="00D95EEF">
        <w:rPr>
          <w:rFonts w:ascii="Times New Roman" w:hAnsi="Times New Roman" w:cs="Times New Roman"/>
          <w:color w:val="000000" w:themeColor="text1"/>
          <w:sz w:val="28"/>
          <w:szCs w:val="28"/>
        </w:rPr>
        <w:lastRenderedPageBreak/>
        <w:t xml:space="preserve">обществом, полномочиями единоличных исполнительных органов, обжалованием решений органов управления и т. д. </w:t>
      </w:r>
    </w:p>
    <w:p w:rsidR="008E1E68" w:rsidRPr="00D95EEF" w:rsidRDefault="008E1E68" w:rsidP="008E1E68">
      <w:pPr>
        <w:spacing w:after="0" w:line="360" w:lineRule="auto"/>
        <w:ind w:firstLine="709"/>
        <w:contextualSpacing/>
        <w:jc w:val="both"/>
        <w:rPr>
          <w:rFonts w:ascii="Times New Roman" w:hAnsi="Times New Roman" w:cs="Times New Roman"/>
          <w:color w:val="000000" w:themeColor="text1"/>
          <w:sz w:val="28"/>
          <w:szCs w:val="28"/>
        </w:rPr>
      </w:pPr>
      <w:r w:rsidRPr="00D95EEF">
        <w:rPr>
          <w:rFonts w:ascii="Times New Roman" w:hAnsi="Times New Roman" w:cs="Times New Roman"/>
          <w:color w:val="000000" w:themeColor="text1"/>
          <w:sz w:val="28"/>
          <w:szCs w:val="28"/>
        </w:rPr>
        <w:t xml:space="preserve">Приведем несколько примеров споров, при рассмотрении которых может возникнуть вопрос об их подведомственности: </w:t>
      </w:r>
    </w:p>
    <w:p w:rsidR="008E1E68" w:rsidRPr="00D95EEF" w:rsidRDefault="008E1E68" w:rsidP="008E1E68">
      <w:pPr>
        <w:spacing w:after="0" w:line="360" w:lineRule="auto"/>
        <w:ind w:firstLine="709"/>
        <w:contextualSpacing/>
        <w:jc w:val="both"/>
        <w:rPr>
          <w:rFonts w:ascii="Times New Roman" w:hAnsi="Times New Roman" w:cs="Times New Roman"/>
          <w:color w:val="000000" w:themeColor="text1"/>
          <w:sz w:val="28"/>
          <w:szCs w:val="28"/>
        </w:rPr>
      </w:pPr>
      <w:r w:rsidRPr="00D95EEF">
        <w:rPr>
          <w:rFonts w:ascii="Times New Roman" w:hAnsi="Times New Roman" w:cs="Times New Roman"/>
          <w:color w:val="000000" w:themeColor="text1"/>
          <w:sz w:val="28"/>
          <w:szCs w:val="28"/>
        </w:rPr>
        <w:t xml:space="preserve">1) споры, связанные с увольнением/восстановлением на работе лиц, осуществляющих функции единоличных исполнительных органов. </w:t>
      </w:r>
    </w:p>
    <w:p w:rsidR="008E1E68" w:rsidRPr="00D95EEF" w:rsidRDefault="008E1E68" w:rsidP="008E1E68">
      <w:pPr>
        <w:spacing w:after="0" w:line="360" w:lineRule="auto"/>
        <w:ind w:firstLine="709"/>
        <w:contextualSpacing/>
        <w:jc w:val="both"/>
        <w:rPr>
          <w:rFonts w:ascii="Times New Roman" w:hAnsi="Times New Roman" w:cs="Times New Roman"/>
          <w:color w:val="000000" w:themeColor="text1"/>
          <w:sz w:val="28"/>
          <w:szCs w:val="28"/>
        </w:rPr>
      </w:pPr>
      <w:r w:rsidRPr="00D95EEF">
        <w:rPr>
          <w:rFonts w:ascii="Times New Roman" w:hAnsi="Times New Roman" w:cs="Times New Roman"/>
          <w:color w:val="000000" w:themeColor="text1"/>
          <w:sz w:val="28"/>
          <w:szCs w:val="28"/>
        </w:rPr>
        <w:t xml:space="preserve">Примером может служить Решение Арбитражного суда Московской области по делу № А41-14132/10 от 28.04.2014 года. </w:t>
      </w:r>
      <w:proofErr w:type="gramStart"/>
      <w:r w:rsidRPr="00D95EEF">
        <w:rPr>
          <w:rFonts w:ascii="Times New Roman" w:hAnsi="Times New Roman" w:cs="Times New Roman"/>
          <w:color w:val="000000" w:themeColor="text1"/>
          <w:sz w:val="28"/>
          <w:szCs w:val="28"/>
        </w:rPr>
        <w:t>Рассматривая спор по вопросу восстановления на работе генерального директора ЗАО «СЭЛЗ» Соловьева О.В., анализируя как нормы АПК РФ, так и нормы действующего ТК РФ, арбитражный суд в своем решении пришел к выводу, что отношения между единоличным исполнительным органом, с одной стороны, и акционерным обществом, с другой, основаны на трудовых договорах и являются трудовыми правоотношениями.</w:t>
      </w:r>
      <w:proofErr w:type="gramEnd"/>
      <w:r w:rsidRPr="00D95EEF">
        <w:rPr>
          <w:rFonts w:ascii="Times New Roman" w:hAnsi="Times New Roman" w:cs="Times New Roman"/>
          <w:color w:val="000000" w:themeColor="text1"/>
          <w:sz w:val="28"/>
          <w:szCs w:val="28"/>
        </w:rPr>
        <w:t xml:space="preserve"> Проанализировав положения статей 382, 383 и 391 ТК РФ, суд в своем решении указал, что отнесение споров между организацией и ее единоличным исполнительным органом к подведомственности судов общей юрисдикции исключает возможность их рассмотрения в арбитражных судах. Таким образом, данный спор, по мнению </w:t>
      </w:r>
      <w:proofErr w:type="gramStart"/>
      <w:r w:rsidRPr="00D95EEF">
        <w:rPr>
          <w:rFonts w:ascii="Times New Roman" w:hAnsi="Times New Roman" w:cs="Times New Roman"/>
          <w:color w:val="000000" w:themeColor="text1"/>
          <w:sz w:val="28"/>
          <w:szCs w:val="28"/>
        </w:rPr>
        <w:t>Арбитражного</w:t>
      </w:r>
      <w:proofErr w:type="gramEnd"/>
      <w:r w:rsidRPr="00D95EEF">
        <w:rPr>
          <w:rFonts w:ascii="Times New Roman" w:hAnsi="Times New Roman" w:cs="Times New Roman"/>
          <w:color w:val="000000" w:themeColor="text1"/>
          <w:sz w:val="28"/>
          <w:szCs w:val="28"/>
        </w:rPr>
        <w:t xml:space="preserve"> суда Московской области, не подпадает под действие ст. 225.1 АПК РФ, поскольку касается внутрихозяйственной деятельности ЗАО «СЭЛЗ» и однозначно относится к подведомственности судов общей юрисдикции[9]. </w:t>
      </w:r>
    </w:p>
    <w:p w:rsidR="008E1E68" w:rsidRPr="00D95EEF" w:rsidRDefault="008E1E68" w:rsidP="008E1E68">
      <w:pPr>
        <w:spacing w:after="0" w:line="360" w:lineRule="auto"/>
        <w:ind w:firstLine="709"/>
        <w:contextualSpacing/>
        <w:jc w:val="both"/>
        <w:rPr>
          <w:rFonts w:ascii="Times New Roman" w:hAnsi="Times New Roman" w:cs="Times New Roman"/>
          <w:color w:val="000000" w:themeColor="text1"/>
          <w:sz w:val="28"/>
          <w:szCs w:val="28"/>
        </w:rPr>
      </w:pPr>
      <w:r w:rsidRPr="00D95EEF">
        <w:rPr>
          <w:rFonts w:ascii="Times New Roman" w:hAnsi="Times New Roman" w:cs="Times New Roman"/>
          <w:color w:val="000000" w:themeColor="text1"/>
          <w:sz w:val="28"/>
          <w:szCs w:val="28"/>
        </w:rPr>
        <w:t xml:space="preserve">Так же Решением Арбитражного суда  Тверской области  по делу № А66-13/2013 истец Котов Сергей Львович просит признать требование ЗАО «Защитные технологии» от 19.11.2012 в части «Срок полномочий Директора, определенный в соответствии с пунктом 8.2.2 Устава, истек 08.10.2012», незаконным. При рассмотрении спора суд пришел к выводу, что избранный истцом способ защиты права не соответствует характеру спорных правоотношений и не приведет к восстановлению нарушенного, по мнению истца, права, в случае удовлетворения иска. Таким образом, избрание истцом неадекватного обстоятельствам дела способа защиты права, отсутствие </w:t>
      </w:r>
      <w:r w:rsidRPr="00D95EEF">
        <w:rPr>
          <w:rFonts w:ascii="Times New Roman" w:hAnsi="Times New Roman" w:cs="Times New Roman"/>
          <w:color w:val="000000" w:themeColor="text1"/>
          <w:sz w:val="28"/>
          <w:szCs w:val="28"/>
        </w:rPr>
        <w:lastRenderedPageBreak/>
        <w:t xml:space="preserve">доказательств нарушения или оспаривания ответчиком прав истца, влечет отказ в удовлетворении требований истца о признании требования ЗАО «Защитные технологии» от 19.11.2012 в части «Срок полномочий Директора, определенный в соответствии с пунктом 8.2.2 Устава, истек 08.10.2012», незаконным. Оснований для рассмотрения по существу требования истца о признании трудового договора от 01.11.2009 заключенным на неопределенный срок, судом не усмотрено. </w:t>
      </w:r>
      <w:proofErr w:type="gramStart"/>
      <w:r w:rsidRPr="00D95EEF">
        <w:rPr>
          <w:rFonts w:ascii="Times New Roman" w:hAnsi="Times New Roman" w:cs="Times New Roman"/>
          <w:color w:val="000000" w:themeColor="text1"/>
          <w:sz w:val="28"/>
          <w:szCs w:val="28"/>
        </w:rPr>
        <w:t>Проанализировав ч. 2 ст. 27, 28, пункт 2 ч. 1 ст. 33, 225.1 АПК РФ  и ст. 382 ТК РФ суд отметил, что рассматриваемый спор не является корпоративным спором, поскольку отношения между единоличным исполнительным органом (Котовым С.Л.) с одной стороны и обществом с ограниченной ответственностью (ООО «ГИЦ ПС ВТ») - с другой, основаны на трудовом договоре от 01.11.2009, как следствие</w:t>
      </w:r>
      <w:proofErr w:type="gramEnd"/>
      <w:r w:rsidRPr="00D95EEF">
        <w:rPr>
          <w:rFonts w:ascii="Times New Roman" w:hAnsi="Times New Roman" w:cs="Times New Roman"/>
          <w:color w:val="000000" w:themeColor="text1"/>
          <w:sz w:val="28"/>
          <w:szCs w:val="28"/>
        </w:rPr>
        <w:t xml:space="preserve"> являются трудовыми. Особенности регулирования трудовых отношений установлены Трудовым кодексом Российской Федерации. Поскольку в компетенцию арбитражных судов не входит рассмотрение трудовых споров, производство по требованию истца о признании трудового договора от 01.11.2009 заключенным на неопределенный срок подлежит прекращению в соответствии с пунктом 1 части 1 статьи 150 АПК РФ [10].</w:t>
      </w:r>
    </w:p>
    <w:p w:rsidR="008E1E68" w:rsidRPr="00D95EEF" w:rsidRDefault="008E1E68" w:rsidP="008E1E68">
      <w:pPr>
        <w:spacing w:after="0" w:line="360" w:lineRule="auto"/>
        <w:ind w:firstLine="709"/>
        <w:contextualSpacing/>
        <w:jc w:val="both"/>
        <w:rPr>
          <w:rFonts w:ascii="Times New Roman" w:hAnsi="Times New Roman" w:cs="Times New Roman"/>
          <w:color w:val="000000" w:themeColor="text1"/>
          <w:sz w:val="28"/>
          <w:szCs w:val="28"/>
        </w:rPr>
      </w:pPr>
      <w:r w:rsidRPr="00D95EEF">
        <w:rPr>
          <w:rFonts w:ascii="Times New Roman" w:hAnsi="Times New Roman" w:cs="Times New Roman"/>
          <w:color w:val="000000" w:themeColor="text1"/>
          <w:sz w:val="28"/>
          <w:szCs w:val="28"/>
        </w:rPr>
        <w:t xml:space="preserve">2. Выплата компенсации единоличному исполнительному органу юридического лица, в случае прекращения действия трудового договора. В целях защиты интересов ключевых </w:t>
      </w:r>
      <w:proofErr w:type="spellStart"/>
      <w:proofErr w:type="gramStart"/>
      <w:r w:rsidRPr="00D95EEF">
        <w:rPr>
          <w:rFonts w:ascii="Times New Roman" w:hAnsi="Times New Roman" w:cs="Times New Roman"/>
          <w:color w:val="000000" w:themeColor="text1"/>
          <w:sz w:val="28"/>
          <w:szCs w:val="28"/>
        </w:rPr>
        <w:t>топ-менеджеров</w:t>
      </w:r>
      <w:proofErr w:type="spellEnd"/>
      <w:proofErr w:type="gramEnd"/>
      <w:r w:rsidRPr="00D95EEF">
        <w:rPr>
          <w:rFonts w:ascii="Times New Roman" w:hAnsi="Times New Roman" w:cs="Times New Roman"/>
          <w:color w:val="000000" w:themeColor="text1"/>
          <w:sz w:val="28"/>
          <w:szCs w:val="28"/>
        </w:rPr>
        <w:t xml:space="preserve">, корпорации подписывают с данными сотрудниками соглашения о выплате им крупных компенсаций в случае прекращения трудового договора по определенным основаниям, например, в случае досрочного увольнения директора по решению Совета директоров либо собрания участников или в случае смены собственника компании. Трудовой кодекс РФ фактически не ограничивает размер выплат в указанных случаях  [3, ст. 178, ст. 279], но, учитывая значительный размер подобных компенсаций, акционеры (участники) компании могут быть заинтересованы в оспаривании подобных соглашений. Перспективы такого оспаривания будут зависеть от того, в каком суде будет рассматриваться дело – арбитражном или общей юрисдикции. </w:t>
      </w:r>
    </w:p>
    <w:p w:rsidR="008E1E68" w:rsidRPr="00D95EEF" w:rsidRDefault="008E1E68" w:rsidP="008E1E68">
      <w:pPr>
        <w:spacing w:after="0" w:line="360" w:lineRule="auto"/>
        <w:ind w:firstLine="709"/>
        <w:contextualSpacing/>
        <w:jc w:val="both"/>
        <w:rPr>
          <w:rFonts w:ascii="Times New Roman" w:hAnsi="Times New Roman" w:cs="Times New Roman"/>
          <w:color w:val="000000" w:themeColor="text1"/>
          <w:sz w:val="28"/>
          <w:szCs w:val="28"/>
        </w:rPr>
      </w:pPr>
      <w:r w:rsidRPr="00D95EEF">
        <w:rPr>
          <w:rFonts w:ascii="Times New Roman" w:hAnsi="Times New Roman" w:cs="Times New Roman"/>
          <w:color w:val="000000" w:themeColor="text1"/>
          <w:sz w:val="28"/>
          <w:szCs w:val="28"/>
        </w:rPr>
        <w:lastRenderedPageBreak/>
        <w:t xml:space="preserve">У судов общей юрисдикции подход к решению данных споров однообразный: урегулирование трудовых отношений с помощью норм гражданского законодательства (в том числе даже по аналогии) противоречит ст. 5 ТК РФ [3] и никак не предусмотрено ст. 2 ГК РФ [2]. В трудовом законодательстве отсутствуют нормы о недействительности трудового договора [5,6]. Поэтому возражения работодателей на иски работников о взыскании компенсации, основанные на доводах о недействительности соглашения о компенсации, судами не принимаются во внимание [7,8]. </w:t>
      </w:r>
    </w:p>
    <w:p w:rsidR="008E1E68" w:rsidRPr="00D95EEF" w:rsidRDefault="008E1E68" w:rsidP="008E1E68">
      <w:pPr>
        <w:spacing w:after="0" w:line="360" w:lineRule="auto"/>
        <w:ind w:firstLine="709"/>
        <w:contextualSpacing/>
        <w:jc w:val="both"/>
        <w:rPr>
          <w:rFonts w:ascii="Times New Roman" w:hAnsi="Times New Roman" w:cs="Times New Roman"/>
          <w:color w:val="000000" w:themeColor="text1"/>
          <w:sz w:val="28"/>
          <w:szCs w:val="28"/>
        </w:rPr>
      </w:pPr>
      <w:r w:rsidRPr="00D95EEF">
        <w:rPr>
          <w:rFonts w:ascii="Times New Roman" w:hAnsi="Times New Roman" w:cs="Times New Roman"/>
          <w:color w:val="000000" w:themeColor="text1"/>
          <w:sz w:val="28"/>
          <w:szCs w:val="28"/>
        </w:rPr>
        <w:t xml:space="preserve">Итак, при отсутствии доводов о нарушении норм о крупных сделках (либо сделках с заинтересованностью) рассмотрение спора может быть признано неподведомственным арбитражному суду [11, </w:t>
      </w:r>
      <w:r w:rsidRPr="00D95EEF">
        <w:rPr>
          <w:rFonts w:ascii="Times New Roman" w:hAnsi="Times New Roman" w:cs="Times New Roman"/>
          <w:color w:val="000000" w:themeColor="text1"/>
          <w:sz w:val="28"/>
          <w:szCs w:val="28"/>
          <w:lang w:val="en-US"/>
        </w:rPr>
        <w:t>c</w:t>
      </w:r>
      <w:r w:rsidRPr="00D95EEF">
        <w:rPr>
          <w:rFonts w:ascii="Times New Roman" w:hAnsi="Times New Roman" w:cs="Times New Roman"/>
          <w:color w:val="000000" w:themeColor="text1"/>
          <w:sz w:val="28"/>
          <w:szCs w:val="28"/>
        </w:rPr>
        <w:t xml:space="preserve">. 155]. </w:t>
      </w:r>
    </w:p>
    <w:p w:rsidR="008E1E68" w:rsidRPr="00D95EEF" w:rsidRDefault="008E1E68" w:rsidP="008E1E68">
      <w:pPr>
        <w:spacing w:after="0" w:line="360" w:lineRule="auto"/>
        <w:ind w:firstLine="709"/>
        <w:contextualSpacing/>
        <w:jc w:val="both"/>
        <w:rPr>
          <w:rFonts w:ascii="Times New Roman" w:hAnsi="Times New Roman" w:cs="Times New Roman"/>
          <w:color w:val="000000" w:themeColor="text1"/>
          <w:sz w:val="28"/>
          <w:szCs w:val="28"/>
        </w:rPr>
      </w:pPr>
      <w:r w:rsidRPr="00D95EEF">
        <w:rPr>
          <w:rFonts w:ascii="Times New Roman" w:hAnsi="Times New Roman" w:cs="Times New Roman"/>
          <w:color w:val="000000" w:themeColor="text1"/>
          <w:sz w:val="28"/>
          <w:szCs w:val="28"/>
        </w:rPr>
        <w:t xml:space="preserve">Так же отметим, что, согласно ФЗ № 409 от 29.12.2015 г. в ст. 225.1 АПК РФ внесены изменения, согласно которым почти все споры, указанные в части 1 ст. 225.1 АПК РФ могут быть переданы на рассмотрение третейскому суду при отсутствии ряда предусмотренных частями 2–5 ст. 225.1 ограничений. При этом п. 7 ст. 13 ФЗ №409 от 29.12.2015  предусматривает, что арбитражные соглашения о передаче в третейский суд споров, предусмотренных статьей 225.1 АПК РФ, могут быть заключены не ранее 1 февраля 2017 года. Указанные арбитражные соглашения, заключенные ранее 1 февраля 2017 года, считаются неисполнимыми. </w:t>
      </w:r>
      <w:proofErr w:type="gramStart"/>
      <w:r w:rsidRPr="00D95EEF">
        <w:rPr>
          <w:rFonts w:ascii="Times New Roman" w:hAnsi="Times New Roman" w:cs="Times New Roman"/>
          <w:color w:val="000000" w:themeColor="text1"/>
          <w:sz w:val="28"/>
          <w:szCs w:val="28"/>
        </w:rPr>
        <w:t>Согласно ч. 7 ст. 7 ФЗ «Об арбитраже (третейском разбирательстве) в РФ» [4], арбитражное соглашение о передаче в арбитраж всех или части споров участников созданного в Российской Федерации юридического лица и самого юридического лица, для разбирательства которых применяются правила арбитража корпоративных споров, может быть заключено путем его включения в устав юридического лица.</w:t>
      </w:r>
      <w:proofErr w:type="gramEnd"/>
      <w:r w:rsidRPr="00D95EEF">
        <w:rPr>
          <w:rFonts w:ascii="Times New Roman" w:hAnsi="Times New Roman" w:cs="Times New Roman"/>
          <w:color w:val="000000" w:themeColor="text1"/>
          <w:sz w:val="28"/>
          <w:szCs w:val="28"/>
        </w:rPr>
        <w:t xml:space="preserve"> Таким образом, все вышеизложенное свидетельствует о развитии и повышении эффективности арбитража (третейского разбирательства) в Российской Федерации. Тот факт, что некоторые корпоративные споры могут передаваться на рассмотрение третейского суда, говорит о совершенствовании не только процессуального законодательства, но и материального, так как </w:t>
      </w:r>
      <w:proofErr w:type="spellStart"/>
      <w:r w:rsidRPr="00D95EEF">
        <w:rPr>
          <w:rFonts w:ascii="Times New Roman" w:hAnsi="Times New Roman" w:cs="Times New Roman"/>
          <w:color w:val="000000" w:themeColor="text1"/>
          <w:sz w:val="28"/>
          <w:szCs w:val="28"/>
        </w:rPr>
        <w:t>арбитрабельность</w:t>
      </w:r>
      <w:proofErr w:type="spellEnd"/>
      <w:r w:rsidRPr="00D95EEF">
        <w:rPr>
          <w:rFonts w:ascii="Times New Roman" w:hAnsi="Times New Roman" w:cs="Times New Roman"/>
          <w:color w:val="000000" w:themeColor="text1"/>
          <w:sz w:val="28"/>
          <w:szCs w:val="28"/>
        </w:rPr>
        <w:t xml:space="preserve"> невозможно реализовать как </w:t>
      </w:r>
      <w:r w:rsidRPr="00D95EEF">
        <w:rPr>
          <w:rFonts w:ascii="Times New Roman" w:hAnsi="Times New Roman" w:cs="Times New Roman"/>
          <w:color w:val="000000" w:themeColor="text1"/>
          <w:sz w:val="28"/>
          <w:szCs w:val="28"/>
        </w:rPr>
        <w:lastRenderedPageBreak/>
        <w:t xml:space="preserve">таковую без усовершенствования материально-правовой составляющей потенциально-спорного правоотношения (т.е. правоотношения, из которого может возникнуть спор, который будет передан на рассмотрение в суд). Подводя итог, необходимо отметить, что с вопросом развития </w:t>
      </w:r>
      <w:proofErr w:type="spellStart"/>
      <w:r w:rsidRPr="00D95EEF">
        <w:rPr>
          <w:rFonts w:ascii="Times New Roman" w:hAnsi="Times New Roman" w:cs="Times New Roman"/>
          <w:color w:val="000000" w:themeColor="text1"/>
          <w:sz w:val="28"/>
          <w:szCs w:val="28"/>
        </w:rPr>
        <w:t>арбитрабельности</w:t>
      </w:r>
      <w:proofErr w:type="spellEnd"/>
      <w:r w:rsidRPr="00D95EEF">
        <w:rPr>
          <w:rFonts w:ascii="Times New Roman" w:hAnsi="Times New Roman" w:cs="Times New Roman"/>
          <w:color w:val="000000" w:themeColor="text1"/>
          <w:sz w:val="28"/>
          <w:szCs w:val="28"/>
        </w:rPr>
        <w:t xml:space="preserve"> корпоративных споров современное общество делает большой шаг вперед не только к упрощению и ускорению процедур рассмотрения споров, но и к развитию гражданского общества в целом. Ведь еще буквально 15–20 лет назад стороны гражданских правоотношений в большинстве своем не задумывались о правовой составляющей правоотношения и споров, которые могут возникнуть из него, а также о процедуре их легального разрешения. </w:t>
      </w:r>
      <w:proofErr w:type="spellStart"/>
      <w:r w:rsidRPr="00D95EEF">
        <w:rPr>
          <w:rFonts w:ascii="Times New Roman" w:hAnsi="Times New Roman" w:cs="Times New Roman"/>
          <w:color w:val="000000" w:themeColor="text1"/>
          <w:sz w:val="28"/>
          <w:szCs w:val="28"/>
        </w:rPr>
        <w:t>Арбитрабельность</w:t>
      </w:r>
      <w:proofErr w:type="spellEnd"/>
      <w:r w:rsidRPr="00D95EEF">
        <w:rPr>
          <w:rFonts w:ascii="Times New Roman" w:hAnsi="Times New Roman" w:cs="Times New Roman"/>
          <w:color w:val="000000" w:themeColor="text1"/>
          <w:sz w:val="28"/>
          <w:szCs w:val="28"/>
        </w:rPr>
        <w:t xml:space="preserve"> как таковая, и </w:t>
      </w:r>
      <w:proofErr w:type="spellStart"/>
      <w:r w:rsidRPr="00D95EEF">
        <w:rPr>
          <w:rFonts w:ascii="Times New Roman" w:hAnsi="Times New Roman" w:cs="Times New Roman"/>
          <w:color w:val="000000" w:themeColor="text1"/>
          <w:sz w:val="28"/>
          <w:szCs w:val="28"/>
        </w:rPr>
        <w:t>арбитрабельность</w:t>
      </w:r>
      <w:proofErr w:type="spellEnd"/>
      <w:r w:rsidRPr="00D95EEF">
        <w:rPr>
          <w:rFonts w:ascii="Times New Roman" w:hAnsi="Times New Roman" w:cs="Times New Roman"/>
          <w:color w:val="000000" w:themeColor="text1"/>
          <w:sz w:val="28"/>
          <w:szCs w:val="28"/>
        </w:rPr>
        <w:t xml:space="preserve"> корпоративных споров, в частности, позволяют, с одной стороны, цивилизованно и компромиссно, а с другой — непублично и быстро разрешать возникающие споры [11, с. 179].</w:t>
      </w:r>
    </w:p>
    <w:p w:rsidR="008E1E68" w:rsidRPr="00D95EEF" w:rsidRDefault="008E1E68" w:rsidP="008E1E68">
      <w:pPr>
        <w:spacing w:after="0" w:line="360" w:lineRule="auto"/>
        <w:ind w:firstLine="709"/>
        <w:contextualSpacing/>
        <w:jc w:val="both"/>
        <w:rPr>
          <w:rFonts w:ascii="Times New Roman" w:hAnsi="Times New Roman" w:cs="Times New Roman"/>
          <w:color w:val="000000" w:themeColor="text1"/>
          <w:sz w:val="28"/>
          <w:szCs w:val="28"/>
        </w:rPr>
      </w:pPr>
      <w:r w:rsidRPr="00D95EEF">
        <w:rPr>
          <w:rFonts w:ascii="Times New Roman" w:hAnsi="Times New Roman" w:cs="Times New Roman"/>
          <w:color w:val="000000" w:themeColor="text1"/>
          <w:sz w:val="28"/>
          <w:szCs w:val="28"/>
        </w:rPr>
        <w:t>Подводя итог, можно сделать заключение, о том, что при решении вопроса подведомственности корпоративных споров следует учитывать в первую очередь правовую суть дискуссионных правоотношений. Корректность решения о подведомственности спора зависит от правильного определения отраслевой принадлежности правовых норм, на которые ссылаются стороны спора. Помимо этого, в основе принимаемого решения должны лежать основные межотраслевые принципы справедливости, разумности и процессуальной экономии</w:t>
      </w:r>
    </w:p>
    <w:p w:rsidR="008E1E68" w:rsidRPr="00D95EEF" w:rsidRDefault="008E1E68" w:rsidP="008E1E68">
      <w:pPr>
        <w:spacing w:after="0" w:line="360" w:lineRule="auto"/>
        <w:ind w:firstLine="709"/>
        <w:contextualSpacing/>
        <w:jc w:val="both"/>
        <w:rPr>
          <w:rFonts w:ascii="Times New Roman" w:hAnsi="Times New Roman" w:cs="Times New Roman"/>
          <w:color w:val="000000" w:themeColor="text1"/>
          <w:sz w:val="28"/>
          <w:szCs w:val="28"/>
        </w:rPr>
      </w:pPr>
    </w:p>
    <w:p w:rsidR="008E1E68" w:rsidRPr="00D95EEF" w:rsidRDefault="008E1E68" w:rsidP="008E1E68">
      <w:pPr>
        <w:spacing w:after="0" w:line="360" w:lineRule="auto"/>
        <w:ind w:firstLine="709"/>
        <w:contextualSpacing/>
        <w:jc w:val="center"/>
        <w:rPr>
          <w:rFonts w:ascii="Times New Roman" w:hAnsi="Times New Roman" w:cs="Times New Roman"/>
          <w:b/>
          <w:color w:val="000000" w:themeColor="text1"/>
          <w:sz w:val="28"/>
          <w:szCs w:val="28"/>
        </w:rPr>
      </w:pPr>
    </w:p>
    <w:p w:rsidR="008E1E68" w:rsidRDefault="008E1E68" w:rsidP="008E1E68">
      <w:pPr>
        <w:spacing w:after="0" w:line="360" w:lineRule="auto"/>
        <w:ind w:firstLine="709"/>
        <w:contextualSpacing/>
        <w:jc w:val="center"/>
        <w:rPr>
          <w:rFonts w:ascii="Times New Roman" w:hAnsi="Times New Roman" w:cs="Times New Roman"/>
          <w:b/>
          <w:color w:val="000000" w:themeColor="text1"/>
          <w:sz w:val="28"/>
          <w:szCs w:val="28"/>
        </w:rPr>
      </w:pPr>
    </w:p>
    <w:p w:rsidR="008E1E68" w:rsidRDefault="008E1E68" w:rsidP="008E1E68">
      <w:pPr>
        <w:spacing w:after="0" w:line="360" w:lineRule="auto"/>
        <w:ind w:firstLine="709"/>
        <w:contextualSpacing/>
        <w:jc w:val="center"/>
        <w:rPr>
          <w:rFonts w:ascii="Times New Roman" w:hAnsi="Times New Roman" w:cs="Times New Roman"/>
          <w:b/>
          <w:color w:val="000000" w:themeColor="text1"/>
          <w:sz w:val="28"/>
          <w:szCs w:val="28"/>
        </w:rPr>
      </w:pPr>
    </w:p>
    <w:p w:rsidR="008E1E68" w:rsidRDefault="008E1E68" w:rsidP="008E1E68">
      <w:pPr>
        <w:spacing w:after="0" w:line="360" w:lineRule="auto"/>
        <w:ind w:firstLine="709"/>
        <w:contextualSpacing/>
        <w:jc w:val="center"/>
        <w:rPr>
          <w:rFonts w:ascii="Times New Roman" w:hAnsi="Times New Roman" w:cs="Times New Roman"/>
          <w:b/>
          <w:color w:val="000000" w:themeColor="text1"/>
          <w:sz w:val="28"/>
          <w:szCs w:val="28"/>
        </w:rPr>
      </w:pPr>
    </w:p>
    <w:p w:rsidR="008E1E68" w:rsidRDefault="008E1E68" w:rsidP="008E1E68">
      <w:pPr>
        <w:spacing w:after="0" w:line="360" w:lineRule="auto"/>
        <w:ind w:firstLine="709"/>
        <w:contextualSpacing/>
        <w:jc w:val="center"/>
        <w:rPr>
          <w:rFonts w:ascii="Times New Roman" w:hAnsi="Times New Roman" w:cs="Times New Roman"/>
          <w:b/>
          <w:color w:val="000000" w:themeColor="text1"/>
          <w:sz w:val="28"/>
          <w:szCs w:val="28"/>
        </w:rPr>
      </w:pPr>
    </w:p>
    <w:p w:rsidR="008E1E68" w:rsidRDefault="008E1E68" w:rsidP="008E1E68">
      <w:pPr>
        <w:spacing w:after="0" w:line="360" w:lineRule="auto"/>
        <w:ind w:firstLine="709"/>
        <w:contextualSpacing/>
        <w:jc w:val="center"/>
        <w:rPr>
          <w:rFonts w:ascii="Times New Roman" w:hAnsi="Times New Roman" w:cs="Times New Roman"/>
          <w:b/>
          <w:color w:val="000000" w:themeColor="text1"/>
          <w:sz w:val="28"/>
          <w:szCs w:val="28"/>
        </w:rPr>
      </w:pPr>
    </w:p>
    <w:p w:rsidR="008E1E68" w:rsidRPr="00D95EEF" w:rsidRDefault="008E1E68" w:rsidP="008E1E68">
      <w:pPr>
        <w:spacing w:after="0" w:line="360" w:lineRule="auto"/>
        <w:ind w:firstLine="709"/>
        <w:contextualSpacing/>
        <w:jc w:val="center"/>
        <w:rPr>
          <w:rFonts w:ascii="Times New Roman" w:hAnsi="Times New Roman" w:cs="Times New Roman"/>
          <w:b/>
          <w:color w:val="000000" w:themeColor="text1"/>
          <w:sz w:val="28"/>
          <w:szCs w:val="28"/>
        </w:rPr>
      </w:pPr>
    </w:p>
    <w:p w:rsidR="008E1E68" w:rsidRPr="00D95EEF" w:rsidRDefault="008E1E68" w:rsidP="008E1E68">
      <w:pPr>
        <w:spacing w:after="0" w:line="360" w:lineRule="auto"/>
        <w:ind w:firstLine="709"/>
        <w:contextualSpacing/>
        <w:jc w:val="center"/>
        <w:rPr>
          <w:rFonts w:ascii="Times New Roman" w:hAnsi="Times New Roman" w:cs="Times New Roman"/>
          <w:b/>
          <w:color w:val="000000" w:themeColor="text1"/>
          <w:sz w:val="28"/>
          <w:szCs w:val="28"/>
        </w:rPr>
      </w:pPr>
    </w:p>
    <w:p w:rsidR="008E1E68" w:rsidRPr="00D95EEF" w:rsidRDefault="008E1E68" w:rsidP="008E1E68">
      <w:pPr>
        <w:spacing w:after="0" w:line="360" w:lineRule="auto"/>
        <w:ind w:firstLine="709"/>
        <w:contextualSpacing/>
        <w:jc w:val="center"/>
        <w:rPr>
          <w:rFonts w:ascii="Times New Roman" w:hAnsi="Times New Roman" w:cs="Times New Roman"/>
          <w:b/>
          <w:color w:val="000000" w:themeColor="text1"/>
          <w:sz w:val="28"/>
          <w:szCs w:val="28"/>
        </w:rPr>
      </w:pPr>
    </w:p>
    <w:p w:rsidR="008E1E68" w:rsidRPr="00D95EEF" w:rsidRDefault="008E1E68" w:rsidP="008E1E68">
      <w:pPr>
        <w:spacing w:after="0" w:line="360" w:lineRule="auto"/>
        <w:ind w:firstLine="709"/>
        <w:contextualSpacing/>
        <w:jc w:val="center"/>
        <w:rPr>
          <w:rFonts w:ascii="Times New Roman" w:hAnsi="Times New Roman" w:cs="Times New Roman"/>
          <w:b/>
          <w:color w:val="000000" w:themeColor="text1"/>
          <w:sz w:val="28"/>
          <w:szCs w:val="28"/>
        </w:rPr>
      </w:pPr>
      <w:r w:rsidRPr="00D95EEF">
        <w:rPr>
          <w:rFonts w:ascii="Times New Roman" w:hAnsi="Times New Roman" w:cs="Times New Roman"/>
          <w:b/>
          <w:color w:val="000000" w:themeColor="text1"/>
          <w:sz w:val="28"/>
          <w:szCs w:val="28"/>
        </w:rPr>
        <w:lastRenderedPageBreak/>
        <w:t>СПИСОК ИСПОЛЬЗУЕМЫХ ИСТОЧНИКОВ</w:t>
      </w:r>
    </w:p>
    <w:p w:rsidR="008E1E68" w:rsidRPr="00D95EEF" w:rsidRDefault="008E1E68" w:rsidP="008E1E68">
      <w:pPr>
        <w:spacing w:after="0" w:line="360" w:lineRule="auto"/>
        <w:ind w:firstLine="709"/>
        <w:contextualSpacing/>
        <w:jc w:val="both"/>
        <w:rPr>
          <w:rFonts w:ascii="Times New Roman" w:hAnsi="Times New Roman" w:cs="Times New Roman"/>
          <w:color w:val="000000" w:themeColor="text1"/>
          <w:sz w:val="28"/>
          <w:szCs w:val="28"/>
        </w:rPr>
      </w:pPr>
    </w:p>
    <w:p w:rsidR="008E1E68" w:rsidRPr="00D95EEF" w:rsidRDefault="008E1E68" w:rsidP="008E1E68">
      <w:pPr>
        <w:pStyle w:val="ad"/>
        <w:numPr>
          <w:ilvl w:val="0"/>
          <w:numId w:val="2"/>
        </w:numPr>
        <w:spacing w:after="0" w:line="360" w:lineRule="auto"/>
        <w:ind w:left="0" w:firstLine="709"/>
        <w:jc w:val="both"/>
        <w:rPr>
          <w:rFonts w:ascii="Times New Roman" w:hAnsi="Times New Roman" w:cs="Times New Roman"/>
          <w:color w:val="000000" w:themeColor="text1"/>
          <w:sz w:val="28"/>
          <w:szCs w:val="28"/>
        </w:rPr>
      </w:pPr>
      <w:r w:rsidRPr="00D95EEF">
        <w:rPr>
          <w:rFonts w:ascii="Times New Roman" w:eastAsia="Times New Roman" w:hAnsi="Times New Roman" w:cs="Times New Roman"/>
          <w:color w:val="000000" w:themeColor="text1"/>
          <w:sz w:val="28"/>
          <w:szCs w:val="28"/>
          <w:lang w:eastAsia="ru-RU"/>
        </w:rPr>
        <w:t xml:space="preserve">Арбитражный процессуальный кодекс Российской Федерации от 24.07.2002 № 95-ФЗ (ред. от 29.07.2017) // Собрание законодательства РФ. 2002. № 30. ст. 3012. </w:t>
      </w:r>
    </w:p>
    <w:p w:rsidR="008E1E68" w:rsidRPr="00D95EEF" w:rsidRDefault="008E1E68" w:rsidP="008E1E68">
      <w:pPr>
        <w:pStyle w:val="ad"/>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D95EEF">
        <w:rPr>
          <w:rFonts w:ascii="Times New Roman" w:eastAsia="Times New Roman" w:hAnsi="Times New Roman" w:cs="Times New Roman"/>
          <w:color w:val="000000" w:themeColor="text1"/>
          <w:sz w:val="28"/>
          <w:szCs w:val="28"/>
          <w:lang w:eastAsia="ru-RU"/>
        </w:rPr>
        <w:t>Гражданский кодекс Российской Федерации (часть первая) от 30.11.1994 № 51-ФЗ (ред. от 05.12.2017) // Собрание законодательства РФ. 1994. № 32. ст. 3301.</w:t>
      </w:r>
    </w:p>
    <w:p w:rsidR="008E1E68" w:rsidRPr="00D95EEF" w:rsidRDefault="008E1E68" w:rsidP="008E1E68">
      <w:pPr>
        <w:pStyle w:val="ad"/>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D95EEF">
        <w:rPr>
          <w:rFonts w:ascii="Times New Roman" w:eastAsia="Times New Roman" w:hAnsi="Times New Roman" w:cs="Times New Roman"/>
          <w:color w:val="000000" w:themeColor="text1"/>
          <w:sz w:val="28"/>
          <w:szCs w:val="28"/>
          <w:lang w:eastAsia="ru-RU"/>
        </w:rPr>
        <w:t>Трудовой кодекс Российской Федерации от 30.12.2001 № 197-ФЗ (ред. от 27.11.2017) // Собрание законодательства РФ. 2002. № 1 (ч. 1)</w:t>
      </w:r>
      <w:proofErr w:type="gramStart"/>
      <w:r w:rsidRPr="00D95EEF">
        <w:rPr>
          <w:rFonts w:ascii="Times New Roman" w:eastAsia="Times New Roman" w:hAnsi="Times New Roman" w:cs="Times New Roman"/>
          <w:color w:val="000000" w:themeColor="text1"/>
          <w:sz w:val="28"/>
          <w:szCs w:val="28"/>
          <w:lang w:eastAsia="ru-RU"/>
        </w:rPr>
        <w:t>.</w:t>
      </w:r>
      <w:proofErr w:type="gramEnd"/>
      <w:r w:rsidRPr="00D95EEF">
        <w:rPr>
          <w:rFonts w:ascii="Times New Roman" w:eastAsia="Times New Roman" w:hAnsi="Times New Roman" w:cs="Times New Roman"/>
          <w:color w:val="000000" w:themeColor="text1"/>
          <w:sz w:val="28"/>
          <w:szCs w:val="28"/>
          <w:lang w:eastAsia="ru-RU"/>
        </w:rPr>
        <w:t xml:space="preserve"> </w:t>
      </w:r>
      <w:proofErr w:type="gramStart"/>
      <w:r w:rsidRPr="00D95EEF">
        <w:rPr>
          <w:rFonts w:ascii="Times New Roman" w:eastAsia="Times New Roman" w:hAnsi="Times New Roman" w:cs="Times New Roman"/>
          <w:color w:val="000000" w:themeColor="text1"/>
          <w:sz w:val="28"/>
          <w:szCs w:val="28"/>
          <w:lang w:eastAsia="ru-RU"/>
        </w:rPr>
        <w:t>с</w:t>
      </w:r>
      <w:proofErr w:type="gramEnd"/>
      <w:r w:rsidRPr="00D95EEF">
        <w:rPr>
          <w:rFonts w:ascii="Times New Roman" w:eastAsia="Times New Roman" w:hAnsi="Times New Roman" w:cs="Times New Roman"/>
          <w:color w:val="000000" w:themeColor="text1"/>
          <w:sz w:val="28"/>
          <w:szCs w:val="28"/>
          <w:lang w:eastAsia="ru-RU"/>
        </w:rPr>
        <w:t>т. 3.</w:t>
      </w:r>
    </w:p>
    <w:p w:rsidR="008E1E68" w:rsidRPr="00D95EEF" w:rsidRDefault="008E1E68" w:rsidP="008E1E68">
      <w:pPr>
        <w:pStyle w:val="ad"/>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D95EEF">
        <w:rPr>
          <w:rFonts w:ascii="Times New Roman" w:eastAsia="Times New Roman" w:hAnsi="Times New Roman" w:cs="Times New Roman"/>
          <w:color w:val="000000" w:themeColor="text1"/>
          <w:sz w:val="28"/>
          <w:szCs w:val="28"/>
          <w:lang w:eastAsia="ru-RU"/>
        </w:rPr>
        <w:t>Федеральный закон от 29.12.2015 № 382-ФЗ «Об арбитраже (третейском разбирательстве) в Российской Федерации» // Собрание законодательства РФ. 2016. № 1 (часть I)</w:t>
      </w:r>
      <w:proofErr w:type="gramStart"/>
      <w:r w:rsidRPr="00D95EEF">
        <w:rPr>
          <w:rFonts w:ascii="Times New Roman" w:eastAsia="Times New Roman" w:hAnsi="Times New Roman" w:cs="Times New Roman"/>
          <w:color w:val="000000" w:themeColor="text1"/>
          <w:sz w:val="28"/>
          <w:szCs w:val="28"/>
          <w:lang w:eastAsia="ru-RU"/>
        </w:rPr>
        <w:t>.</w:t>
      </w:r>
      <w:proofErr w:type="gramEnd"/>
      <w:r w:rsidRPr="00D95EEF">
        <w:rPr>
          <w:rFonts w:ascii="Times New Roman" w:eastAsia="Times New Roman" w:hAnsi="Times New Roman" w:cs="Times New Roman"/>
          <w:color w:val="000000" w:themeColor="text1"/>
          <w:sz w:val="28"/>
          <w:szCs w:val="28"/>
          <w:lang w:eastAsia="ru-RU"/>
        </w:rPr>
        <w:t xml:space="preserve"> </w:t>
      </w:r>
      <w:proofErr w:type="gramStart"/>
      <w:r w:rsidRPr="00D95EEF">
        <w:rPr>
          <w:rFonts w:ascii="Times New Roman" w:eastAsia="Times New Roman" w:hAnsi="Times New Roman" w:cs="Times New Roman"/>
          <w:color w:val="000000" w:themeColor="text1"/>
          <w:sz w:val="28"/>
          <w:szCs w:val="28"/>
          <w:lang w:eastAsia="ru-RU"/>
        </w:rPr>
        <w:t>с</w:t>
      </w:r>
      <w:proofErr w:type="gramEnd"/>
      <w:r w:rsidRPr="00D95EEF">
        <w:rPr>
          <w:rFonts w:ascii="Times New Roman" w:eastAsia="Times New Roman" w:hAnsi="Times New Roman" w:cs="Times New Roman"/>
          <w:color w:val="000000" w:themeColor="text1"/>
          <w:sz w:val="28"/>
          <w:szCs w:val="28"/>
          <w:lang w:eastAsia="ru-RU"/>
        </w:rPr>
        <w:t>т. 2.</w:t>
      </w:r>
    </w:p>
    <w:p w:rsidR="008E1E68" w:rsidRPr="00D95EEF" w:rsidRDefault="008E1E68" w:rsidP="008E1E68">
      <w:pPr>
        <w:pStyle w:val="a5"/>
        <w:numPr>
          <w:ilvl w:val="0"/>
          <w:numId w:val="2"/>
        </w:numPr>
        <w:spacing w:after="0" w:line="360" w:lineRule="auto"/>
        <w:ind w:left="0" w:firstLine="709"/>
        <w:rPr>
          <w:rFonts w:ascii="Times New Roman" w:hAnsi="Times New Roman"/>
          <w:color w:val="000000" w:themeColor="text1"/>
          <w:sz w:val="28"/>
          <w:szCs w:val="28"/>
        </w:rPr>
      </w:pPr>
      <w:r w:rsidRPr="00D95EEF">
        <w:rPr>
          <w:rFonts w:ascii="Times New Roman" w:hAnsi="Times New Roman"/>
          <w:color w:val="000000" w:themeColor="text1"/>
          <w:sz w:val="28"/>
          <w:szCs w:val="28"/>
        </w:rPr>
        <w:t>Определения Верховного суда от 24.12.09 № 48-В09-13 // СПС Консультант Плюс</w:t>
      </w:r>
    </w:p>
    <w:p w:rsidR="008E1E68" w:rsidRPr="00D95EEF" w:rsidRDefault="008E1E68" w:rsidP="008E1E68">
      <w:pPr>
        <w:pStyle w:val="a5"/>
        <w:numPr>
          <w:ilvl w:val="0"/>
          <w:numId w:val="2"/>
        </w:numPr>
        <w:spacing w:after="0" w:line="360" w:lineRule="auto"/>
        <w:ind w:left="0" w:firstLine="709"/>
        <w:rPr>
          <w:rFonts w:ascii="Times New Roman" w:hAnsi="Times New Roman"/>
          <w:color w:val="000000" w:themeColor="text1"/>
          <w:sz w:val="28"/>
          <w:szCs w:val="28"/>
        </w:rPr>
      </w:pPr>
      <w:r w:rsidRPr="00D95EEF">
        <w:rPr>
          <w:rFonts w:ascii="Times New Roman" w:hAnsi="Times New Roman"/>
          <w:color w:val="000000" w:themeColor="text1"/>
          <w:sz w:val="28"/>
          <w:szCs w:val="28"/>
        </w:rPr>
        <w:t>Определения Верховного суда от 14.11.08 № 5-В08-84 // СПС Консультант Плюс</w:t>
      </w:r>
    </w:p>
    <w:p w:rsidR="008E1E68" w:rsidRPr="00D95EEF" w:rsidRDefault="008E1E68" w:rsidP="008E1E68">
      <w:pPr>
        <w:pStyle w:val="a5"/>
        <w:numPr>
          <w:ilvl w:val="0"/>
          <w:numId w:val="2"/>
        </w:numPr>
        <w:spacing w:after="0" w:line="360" w:lineRule="auto"/>
        <w:ind w:left="0" w:firstLine="709"/>
        <w:rPr>
          <w:rFonts w:ascii="Times New Roman" w:hAnsi="Times New Roman"/>
          <w:color w:val="000000" w:themeColor="text1"/>
          <w:sz w:val="28"/>
          <w:szCs w:val="28"/>
        </w:rPr>
      </w:pPr>
      <w:r w:rsidRPr="00D95EEF">
        <w:rPr>
          <w:rFonts w:ascii="Times New Roman" w:hAnsi="Times New Roman"/>
          <w:color w:val="000000" w:themeColor="text1"/>
          <w:sz w:val="28"/>
          <w:szCs w:val="28"/>
        </w:rPr>
        <w:t>Определение Московского городского суда от 17.08.10 по делу № 33-24421 // СПС Консультант Плюс.</w:t>
      </w:r>
    </w:p>
    <w:p w:rsidR="008E1E68" w:rsidRPr="00D95EEF" w:rsidRDefault="008E1E68" w:rsidP="008E1E68">
      <w:pPr>
        <w:pStyle w:val="a5"/>
        <w:numPr>
          <w:ilvl w:val="0"/>
          <w:numId w:val="2"/>
        </w:numPr>
        <w:spacing w:after="0" w:line="360" w:lineRule="auto"/>
        <w:ind w:left="0" w:firstLine="709"/>
        <w:rPr>
          <w:rFonts w:ascii="Times New Roman" w:hAnsi="Times New Roman"/>
          <w:color w:val="000000" w:themeColor="text1"/>
          <w:sz w:val="28"/>
          <w:szCs w:val="28"/>
        </w:rPr>
      </w:pPr>
      <w:r w:rsidRPr="00D95EEF">
        <w:rPr>
          <w:rFonts w:ascii="Times New Roman" w:hAnsi="Times New Roman"/>
          <w:color w:val="000000" w:themeColor="text1"/>
          <w:sz w:val="28"/>
          <w:szCs w:val="28"/>
        </w:rPr>
        <w:t>Определение</w:t>
      </w:r>
      <w:proofErr w:type="gramStart"/>
      <w:r w:rsidRPr="00D95EEF">
        <w:rPr>
          <w:rFonts w:ascii="Times New Roman" w:hAnsi="Times New Roman"/>
          <w:color w:val="000000" w:themeColor="text1"/>
          <w:sz w:val="28"/>
          <w:szCs w:val="28"/>
        </w:rPr>
        <w:t xml:space="preserve"> С</w:t>
      </w:r>
      <w:proofErr w:type="gramEnd"/>
      <w:r w:rsidRPr="00D95EEF">
        <w:rPr>
          <w:rFonts w:ascii="Times New Roman" w:hAnsi="Times New Roman"/>
          <w:color w:val="000000" w:themeColor="text1"/>
          <w:sz w:val="28"/>
          <w:szCs w:val="28"/>
        </w:rPr>
        <w:t>анкт- Петербургского городского суда от 20.10.10 № 13892 // СПС Консультант Плюс.</w:t>
      </w:r>
    </w:p>
    <w:p w:rsidR="008E1E68" w:rsidRPr="00D95EEF" w:rsidRDefault="008E1E68" w:rsidP="008E1E68">
      <w:pPr>
        <w:pStyle w:val="a5"/>
        <w:numPr>
          <w:ilvl w:val="0"/>
          <w:numId w:val="2"/>
        </w:numPr>
        <w:spacing w:after="0" w:line="360" w:lineRule="auto"/>
        <w:ind w:left="0" w:firstLine="709"/>
        <w:rPr>
          <w:rFonts w:ascii="Times New Roman" w:hAnsi="Times New Roman"/>
          <w:color w:val="000000" w:themeColor="text1"/>
          <w:sz w:val="28"/>
          <w:szCs w:val="28"/>
        </w:rPr>
      </w:pPr>
      <w:r w:rsidRPr="00D95EEF">
        <w:rPr>
          <w:rFonts w:ascii="Times New Roman" w:hAnsi="Times New Roman"/>
          <w:color w:val="000000" w:themeColor="text1"/>
          <w:sz w:val="28"/>
          <w:szCs w:val="28"/>
        </w:rPr>
        <w:t xml:space="preserve">Решение Арбитражного суда Московской области по делу № А41-14132/10 от 28.04.2014 // </w:t>
      </w:r>
      <w:hyperlink r:id="rId8" w:history="1">
        <w:r w:rsidRPr="00D95EEF">
          <w:rPr>
            <w:rStyle w:val="a4"/>
            <w:rFonts w:ascii="Times New Roman" w:hAnsi="Times New Roman"/>
            <w:color w:val="000000" w:themeColor="text1"/>
            <w:sz w:val="28"/>
            <w:szCs w:val="28"/>
          </w:rPr>
          <w:t>http://sudact.ruр</w:t>
        </w:r>
      </w:hyperlink>
    </w:p>
    <w:p w:rsidR="008E1E68" w:rsidRPr="00D95EEF" w:rsidRDefault="008E1E68" w:rsidP="008E1E68">
      <w:pPr>
        <w:pStyle w:val="a5"/>
        <w:numPr>
          <w:ilvl w:val="0"/>
          <w:numId w:val="2"/>
        </w:numPr>
        <w:spacing w:after="0" w:line="360" w:lineRule="auto"/>
        <w:ind w:left="0" w:firstLine="709"/>
        <w:rPr>
          <w:rFonts w:ascii="Times New Roman" w:hAnsi="Times New Roman"/>
          <w:color w:val="000000" w:themeColor="text1"/>
          <w:sz w:val="28"/>
          <w:szCs w:val="28"/>
        </w:rPr>
      </w:pPr>
      <w:r w:rsidRPr="00D95EEF">
        <w:rPr>
          <w:rFonts w:ascii="Times New Roman" w:hAnsi="Times New Roman"/>
          <w:color w:val="000000" w:themeColor="text1"/>
          <w:sz w:val="28"/>
          <w:szCs w:val="28"/>
        </w:rPr>
        <w:t xml:space="preserve">Решение Арбитражного суда Тверской  области от 19 июля 2013 г. по делу № А66-13/2013  // </w:t>
      </w:r>
      <w:hyperlink r:id="rId9" w:history="1">
        <w:r w:rsidRPr="00D95EEF">
          <w:rPr>
            <w:rStyle w:val="a4"/>
            <w:rFonts w:ascii="Times New Roman" w:hAnsi="Times New Roman"/>
            <w:color w:val="000000" w:themeColor="text1"/>
            <w:sz w:val="28"/>
            <w:szCs w:val="28"/>
          </w:rPr>
          <w:t>http://sudact.ruр</w:t>
        </w:r>
      </w:hyperlink>
    </w:p>
    <w:p w:rsidR="008E1E68" w:rsidRPr="00D95EEF" w:rsidRDefault="008E1E68" w:rsidP="008E1E68">
      <w:pPr>
        <w:pStyle w:val="a5"/>
        <w:numPr>
          <w:ilvl w:val="0"/>
          <w:numId w:val="2"/>
        </w:numPr>
        <w:spacing w:after="0" w:line="360" w:lineRule="auto"/>
        <w:ind w:left="0" w:firstLine="709"/>
        <w:rPr>
          <w:rFonts w:ascii="Times New Roman" w:hAnsi="Times New Roman"/>
          <w:color w:val="000000" w:themeColor="text1"/>
          <w:sz w:val="28"/>
          <w:szCs w:val="28"/>
        </w:rPr>
      </w:pPr>
      <w:proofErr w:type="spellStart"/>
      <w:r w:rsidRPr="00D95EEF">
        <w:rPr>
          <w:rFonts w:ascii="Times New Roman" w:hAnsi="Times New Roman"/>
          <w:color w:val="000000" w:themeColor="text1"/>
          <w:sz w:val="28"/>
          <w:szCs w:val="28"/>
        </w:rPr>
        <w:t>Пфайфле</w:t>
      </w:r>
      <w:proofErr w:type="spellEnd"/>
      <w:r w:rsidRPr="00D95EEF">
        <w:rPr>
          <w:rFonts w:ascii="Times New Roman" w:hAnsi="Times New Roman"/>
          <w:color w:val="000000" w:themeColor="text1"/>
          <w:sz w:val="28"/>
          <w:szCs w:val="28"/>
        </w:rPr>
        <w:t xml:space="preserve">, А.Ф. </w:t>
      </w:r>
      <w:proofErr w:type="spellStart"/>
      <w:r w:rsidRPr="00D95EEF">
        <w:rPr>
          <w:rFonts w:ascii="Times New Roman" w:hAnsi="Times New Roman"/>
          <w:color w:val="000000" w:themeColor="text1"/>
          <w:sz w:val="28"/>
          <w:szCs w:val="28"/>
        </w:rPr>
        <w:t>Арбитрабельность</w:t>
      </w:r>
      <w:proofErr w:type="spellEnd"/>
      <w:r w:rsidRPr="00D95EEF">
        <w:rPr>
          <w:rFonts w:ascii="Times New Roman" w:hAnsi="Times New Roman"/>
          <w:color w:val="000000" w:themeColor="text1"/>
          <w:sz w:val="28"/>
          <w:szCs w:val="28"/>
        </w:rPr>
        <w:t xml:space="preserve"> корпоративных споров / А.Ф. </w:t>
      </w:r>
      <w:proofErr w:type="spellStart"/>
      <w:r w:rsidRPr="00D95EEF">
        <w:rPr>
          <w:rFonts w:ascii="Times New Roman" w:hAnsi="Times New Roman"/>
          <w:color w:val="000000" w:themeColor="text1"/>
          <w:sz w:val="28"/>
          <w:szCs w:val="28"/>
        </w:rPr>
        <w:t>Пфайфле</w:t>
      </w:r>
      <w:proofErr w:type="spellEnd"/>
      <w:r w:rsidRPr="00D95EEF">
        <w:rPr>
          <w:rFonts w:ascii="Times New Roman" w:hAnsi="Times New Roman"/>
          <w:color w:val="000000" w:themeColor="text1"/>
          <w:sz w:val="28"/>
          <w:szCs w:val="28"/>
        </w:rPr>
        <w:t xml:space="preserve"> // В сборнике: Проблемы судопроизводства по делам, возникающим из гражданских и административных правоотношений сборник статей по материалам международной научно-практической конференции. Северо-</w:t>
      </w:r>
      <w:r w:rsidRPr="00D95EEF">
        <w:rPr>
          <w:rFonts w:ascii="Times New Roman" w:hAnsi="Times New Roman"/>
          <w:color w:val="000000" w:themeColor="text1"/>
          <w:sz w:val="28"/>
          <w:szCs w:val="28"/>
        </w:rPr>
        <w:lastRenderedPageBreak/>
        <w:t>Западный филиал ФГБОУВО «Российский государственный университет правосудия». - 2017. - С. 178-182.</w:t>
      </w:r>
    </w:p>
    <w:p w:rsidR="008E1E68" w:rsidRPr="00D95EEF" w:rsidRDefault="008E1E68" w:rsidP="008E1E68">
      <w:pPr>
        <w:pStyle w:val="ad"/>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D95EEF">
        <w:rPr>
          <w:rFonts w:ascii="Times New Roman" w:eastAsia="Times New Roman" w:hAnsi="Times New Roman" w:cs="Times New Roman"/>
          <w:color w:val="000000" w:themeColor="text1"/>
          <w:sz w:val="28"/>
          <w:szCs w:val="28"/>
          <w:lang w:eastAsia="ru-RU"/>
        </w:rPr>
        <w:t xml:space="preserve">Фомичева, М.А. Проблемы определения подведомственности дел по корпоративным спорам / М.А. Фомичева, Т.М. </w:t>
      </w:r>
      <w:proofErr w:type="spellStart"/>
      <w:r w:rsidRPr="00D95EEF">
        <w:rPr>
          <w:rFonts w:ascii="Times New Roman" w:eastAsia="Times New Roman" w:hAnsi="Times New Roman" w:cs="Times New Roman"/>
          <w:color w:val="000000" w:themeColor="text1"/>
          <w:sz w:val="28"/>
          <w:szCs w:val="28"/>
          <w:lang w:eastAsia="ru-RU"/>
        </w:rPr>
        <w:t>Лаврик</w:t>
      </w:r>
      <w:proofErr w:type="spellEnd"/>
      <w:r w:rsidRPr="00D95EEF">
        <w:rPr>
          <w:rFonts w:ascii="Times New Roman" w:eastAsia="Times New Roman" w:hAnsi="Times New Roman" w:cs="Times New Roman"/>
          <w:color w:val="000000" w:themeColor="text1"/>
          <w:sz w:val="28"/>
          <w:szCs w:val="28"/>
          <w:lang w:eastAsia="ru-RU"/>
        </w:rPr>
        <w:t xml:space="preserve"> // Вопросы российского и международного права. - 2017. - Т. 7. - № 4A. - С. 150-158.</w:t>
      </w:r>
    </w:p>
    <w:p w:rsidR="007D039A" w:rsidRPr="007111D4" w:rsidRDefault="007D039A" w:rsidP="00051014">
      <w:pPr>
        <w:pStyle w:val="a5"/>
        <w:spacing w:line="360" w:lineRule="auto"/>
        <w:rPr>
          <w:rFonts w:ascii="Times New Roman" w:hAnsi="Times New Roman"/>
          <w:sz w:val="28"/>
          <w:szCs w:val="28"/>
        </w:rPr>
      </w:pPr>
    </w:p>
    <w:p w:rsidR="008E1E68" w:rsidRDefault="008E1E68" w:rsidP="007D039A">
      <w:pPr>
        <w:pStyle w:val="a5"/>
        <w:spacing w:line="360" w:lineRule="auto"/>
        <w:ind w:left="454" w:firstLine="709"/>
        <w:jc w:val="center"/>
        <w:rPr>
          <w:rFonts w:ascii="Times New Roman" w:hAnsi="Times New Roman"/>
          <w:b/>
          <w:sz w:val="28"/>
          <w:szCs w:val="28"/>
        </w:rPr>
      </w:pPr>
    </w:p>
    <w:p w:rsidR="008E1E68" w:rsidRDefault="008E1E68" w:rsidP="007D039A">
      <w:pPr>
        <w:pStyle w:val="a5"/>
        <w:spacing w:line="360" w:lineRule="auto"/>
        <w:ind w:left="454" w:firstLine="709"/>
        <w:jc w:val="center"/>
        <w:rPr>
          <w:rFonts w:ascii="Times New Roman" w:hAnsi="Times New Roman"/>
          <w:b/>
          <w:sz w:val="28"/>
          <w:szCs w:val="28"/>
        </w:rPr>
      </w:pPr>
    </w:p>
    <w:p w:rsidR="008E1E68" w:rsidRDefault="008E1E68" w:rsidP="007D039A">
      <w:pPr>
        <w:pStyle w:val="a5"/>
        <w:spacing w:line="360" w:lineRule="auto"/>
        <w:ind w:left="454" w:firstLine="709"/>
        <w:jc w:val="center"/>
        <w:rPr>
          <w:rFonts w:ascii="Times New Roman" w:hAnsi="Times New Roman"/>
          <w:b/>
          <w:sz w:val="28"/>
          <w:szCs w:val="28"/>
        </w:rPr>
      </w:pPr>
    </w:p>
    <w:p w:rsidR="008E1E68" w:rsidRDefault="008E1E68" w:rsidP="007D039A">
      <w:pPr>
        <w:pStyle w:val="a5"/>
        <w:spacing w:line="360" w:lineRule="auto"/>
        <w:ind w:left="454" w:firstLine="709"/>
        <w:jc w:val="center"/>
        <w:rPr>
          <w:rFonts w:ascii="Times New Roman" w:hAnsi="Times New Roman"/>
          <w:b/>
          <w:sz w:val="28"/>
          <w:szCs w:val="28"/>
        </w:rPr>
      </w:pPr>
    </w:p>
    <w:p w:rsidR="008E1E68" w:rsidRDefault="008E1E68" w:rsidP="007D039A">
      <w:pPr>
        <w:pStyle w:val="a5"/>
        <w:spacing w:line="360" w:lineRule="auto"/>
        <w:ind w:left="454" w:firstLine="709"/>
        <w:jc w:val="center"/>
        <w:rPr>
          <w:rFonts w:ascii="Times New Roman" w:hAnsi="Times New Roman"/>
          <w:b/>
          <w:sz w:val="28"/>
          <w:szCs w:val="28"/>
        </w:rPr>
      </w:pPr>
    </w:p>
    <w:p w:rsidR="008E1E68" w:rsidRDefault="008E1E68" w:rsidP="007D039A">
      <w:pPr>
        <w:pStyle w:val="a5"/>
        <w:spacing w:line="360" w:lineRule="auto"/>
        <w:ind w:left="454" w:firstLine="709"/>
        <w:jc w:val="center"/>
        <w:rPr>
          <w:rFonts w:ascii="Times New Roman" w:hAnsi="Times New Roman"/>
          <w:b/>
          <w:sz w:val="28"/>
          <w:szCs w:val="28"/>
        </w:rPr>
      </w:pPr>
    </w:p>
    <w:p w:rsidR="008E1E68" w:rsidRDefault="008E1E68" w:rsidP="007D039A">
      <w:pPr>
        <w:pStyle w:val="a5"/>
        <w:spacing w:line="360" w:lineRule="auto"/>
        <w:ind w:left="454" w:firstLine="709"/>
        <w:jc w:val="center"/>
        <w:rPr>
          <w:rFonts w:ascii="Times New Roman" w:hAnsi="Times New Roman"/>
          <w:b/>
          <w:sz w:val="28"/>
          <w:szCs w:val="28"/>
        </w:rPr>
      </w:pPr>
    </w:p>
    <w:p w:rsidR="008E1E68" w:rsidRDefault="008E1E68" w:rsidP="007D039A">
      <w:pPr>
        <w:pStyle w:val="a5"/>
        <w:spacing w:line="360" w:lineRule="auto"/>
        <w:ind w:left="454" w:firstLine="709"/>
        <w:jc w:val="center"/>
        <w:rPr>
          <w:rFonts w:ascii="Times New Roman" w:hAnsi="Times New Roman"/>
          <w:b/>
          <w:sz w:val="28"/>
          <w:szCs w:val="28"/>
        </w:rPr>
      </w:pPr>
    </w:p>
    <w:p w:rsidR="008E1E68" w:rsidRDefault="008E1E68" w:rsidP="007D039A">
      <w:pPr>
        <w:pStyle w:val="a5"/>
        <w:spacing w:line="360" w:lineRule="auto"/>
        <w:ind w:left="454" w:firstLine="709"/>
        <w:jc w:val="center"/>
        <w:rPr>
          <w:rFonts w:ascii="Times New Roman" w:hAnsi="Times New Roman"/>
          <w:b/>
          <w:sz w:val="28"/>
          <w:szCs w:val="28"/>
        </w:rPr>
      </w:pPr>
    </w:p>
    <w:p w:rsidR="008E1E68" w:rsidRDefault="008E1E68" w:rsidP="007D039A">
      <w:pPr>
        <w:pStyle w:val="a5"/>
        <w:spacing w:line="360" w:lineRule="auto"/>
        <w:ind w:left="454" w:firstLine="709"/>
        <w:jc w:val="center"/>
        <w:rPr>
          <w:rFonts w:ascii="Times New Roman" w:hAnsi="Times New Roman"/>
          <w:b/>
          <w:sz w:val="28"/>
          <w:szCs w:val="28"/>
        </w:rPr>
      </w:pPr>
    </w:p>
    <w:p w:rsidR="008E1E68" w:rsidRDefault="008E1E68" w:rsidP="007D039A">
      <w:pPr>
        <w:pStyle w:val="a5"/>
        <w:spacing w:line="360" w:lineRule="auto"/>
        <w:ind w:left="454" w:firstLine="709"/>
        <w:jc w:val="center"/>
        <w:rPr>
          <w:rFonts w:ascii="Times New Roman" w:hAnsi="Times New Roman"/>
          <w:b/>
          <w:sz w:val="28"/>
          <w:szCs w:val="28"/>
        </w:rPr>
      </w:pPr>
    </w:p>
    <w:p w:rsidR="008E1E68" w:rsidRDefault="008E1E68" w:rsidP="007D039A">
      <w:pPr>
        <w:pStyle w:val="a5"/>
        <w:spacing w:line="360" w:lineRule="auto"/>
        <w:ind w:left="454" w:firstLine="709"/>
        <w:jc w:val="center"/>
        <w:rPr>
          <w:rFonts w:ascii="Times New Roman" w:hAnsi="Times New Roman"/>
          <w:b/>
          <w:sz w:val="28"/>
          <w:szCs w:val="28"/>
        </w:rPr>
      </w:pPr>
    </w:p>
    <w:p w:rsidR="008E1E68" w:rsidRDefault="008E1E68" w:rsidP="007D039A">
      <w:pPr>
        <w:pStyle w:val="a5"/>
        <w:spacing w:line="360" w:lineRule="auto"/>
        <w:ind w:left="454" w:firstLine="709"/>
        <w:jc w:val="center"/>
        <w:rPr>
          <w:rFonts w:ascii="Times New Roman" w:hAnsi="Times New Roman"/>
          <w:b/>
          <w:sz w:val="28"/>
          <w:szCs w:val="28"/>
        </w:rPr>
      </w:pPr>
    </w:p>
    <w:p w:rsidR="008E1E68" w:rsidRDefault="008E1E68" w:rsidP="007D039A">
      <w:pPr>
        <w:pStyle w:val="a5"/>
        <w:spacing w:line="360" w:lineRule="auto"/>
        <w:ind w:left="454" w:firstLine="709"/>
        <w:jc w:val="center"/>
        <w:rPr>
          <w:rFonts w:ascii="Times New Roman" w:hAnsi="Times New Roman"/>
          <w:b/>
          <w:sz w:val="28"/>
          <w:szCs w:val="28"/>
        </w:rPr>
      </w:pPr>
    </w:p>
    <w:p w:rsidR="008E1E68" w:rsidRDefault="008E1E68" w:rsidP="007D039A">
      <w:pPr>
        <w:pStyle w:val="a5"/>
        <w:spacing w:line="360" w:lineRule="auto"/>
        <w:ind w:left="454" w:firstLine="709"/>
        <w:jc w:val="center"/>
        <w:rPr>
          <w:rFonts w:ascii="Times New Roman" w:hAnsi="Times New Roman"/>
          <w:b/>
          <w:sz w:val="28"/>
          <w:szCs w:val="28"/>
        </w:rPr>
      </w:pPr>
    </w:p>
    <w:p w:rsidR="008E1E68" w:rsidRDefault="008E1E68" w:rsidP="007D039A">
      <w:pPr>
        <w:pStyle w:val="a5"/>
        <w:spacing w:line="360" w:lineRule="auto"/>
        <w:ind w:left="454" w:firstLine="709"/>
        <w:jc w:val="center"/>
        <w:rPr>
          <w:rFonts w:ascii="Times New Roman" w:hAnsi="Times New Roman"/>
          <w:b/>
          <w:sz w:val="28"/>
          <w:szCs w:val="28"/>
        </w:rPr>
      </w:pPr>
    </w:p>
    <w:p w:rsidR="008E1E68" w:rsidRDefault="008E1E68" w:rsidP="007D039A">
      <w:pPr>
        <w:pStyle w:val="a5"/>
        <w:spacing w:line="360" w:lineRule="auto"/>
        <w:ind w:left="454" w:firstLine="709"/>
        <w:jc w:val="center"/>
        <w:rPr>
          <w:rFonts w:ascii="Times New Roman" w:hAnsi="Times New Roman"/>
          <w:b/>
          <w:sz w:val="28"/>
          <w:szCs w:val="28"/>
        </w:rPr>
      </w:pPr>
    </w:p>
    <w:p w:rsidR="008E1E68" w:rsidRPr="00B74CA2" w:rsidRDefault="008E1E68" w:rsidP="007D039A">
      <w:pPr>
        <w:pStyle w:val="a5"/>
        <w:spacing w:after="0" w:line="360" w:lineRule="auto"/>
        <w:ind w:left="454" w:firstLine="709"/>
        <w:jc w:val="center"/>
        <w:rPr>
          <w:rFonts w:ascii="Times New Roman" w:hAnsi="Times New Roman"/>
          <w:b/>
          <w:sz w:val="28"/>
          <w:szCs w:val="28"/>
          <w:lang w:val="en-US"/>
        </w:rPr>
      </w:pPr>
      <w:r w:rsidRPr="008E1E68">
        <w:rPr>
          <w:rFonts w:ascii="Times New Roman" w:hAnsi="Times New Roman"/>
          <w:b/>
          <w:sz w:val="28"/>
          <w:szCs w:val="28"/>
          <w:lang w:val="en-US"/>
        </w:rPr>
        <w:lastRenderedPageBreak/>
        <w:t>SEQUENCE OF CORPORATE DISPUTES</w:t>
      </w:r>
    </w:p>
    <w:p w:rsidR="00051014" w:rsidRPr="007D039A" w:rsidRDefault="00051014" w:rsidP="007D039A">
      <w:pPr>
        <w:pStyle w:val="a5"/>
        <w:spacing w:after="0" w:line="360" w:lineRule="auto"/>
        <w:ind w:left="454" w:firstLine="709"/>
        <w:jc w:val="center"/>
        <w:rPr>
          <w:rFonts w:ascii="Times New Roman" w:hAnsi="Times New Roman"/>
          <w:sz w:val="28"/>
          <w:szCs w:val="28"/>
          <w:lang w:val="en-US"/>
        </w:rPr>
      </w:pPr>
      <w:r w:rsidRPr="007D039A">
        <w:rPr>
          <w:rFonts w:ascii="Times New Roman" w:hAnsi="Times New Roman"/>
          <w:sz w:val="28"/>
          <w:szCs w:val="28"/>
          <w:lang w:val="en-US"/>
        </w:rPr>
        <w:t xml:space="preserve">Yana </w:t>
      </w:r>
      <w:proofErr w:type="spellStart"/>
      <w:r w:rsidRPr="007D039A">
        <w:rPr>
          <w:rFonts w:ascii="Times New Roman" w:hAnsi="Times New Roman"/>
          <w:sz w:val="28"/>
          <w:szCs w:val="28"/>
          <w:lang w:val="en-US"/>
        </w:rPr>
        <w:t>Eduardovna</w:t>
      </w:r>
      <w:proofErr w:type="spellEnd"/>
      <w:r w:rsidRPr="007D039A">
        <w:rPr>
          <w:rFonts w:ascii="Times New Roman" w:hAnsi="Times New Roman"/>
          <w:sz w:val="28"/>
          <w:szCs w:val="28"/>
          <w:lang w:val="en-US"/>
        </w:rPr>
        <w:t xml:space="preserve"> </w:t>
      </w:r>
      <w:proofErr w:type="spellStart"/>
      <w:r w:rsidRPr="007D039A">
        <w:rPr>
          <w:rFonts w:ascii="Times New Roman" w:hAnsi="Times New Roman"/>
          <w:sz w:val="28"/>
          <w:szCs w:val="28"/>
          <w:lang w:val="en-US"/>
        </w:rPr>
        <w:t>Sabat</w:t>
      </w:r>
      <w:proofErr w:type="spellEnd"/>
    </w:p>
    <w:p w:rsidR="00051014" w:rsidRPr="007D039A" w:rsidRDefault="00051014" w:rsidP="007D039A">
      <w:pPr>
        <w:pStyle w:val="a5"/>
        <w:spacing w:after="0" w:line="360" w:lineRule="auto"/>
        <w:ind w:left="454" w:firstLine="709"/>
        <w:jc w:val="center"/>
        <w:rPr>
          <w:rFonts w:ascii="Times New Roman" w:hAnsi="Times New Roman"/>
          <w:sz w:val="28"/>
          <w:szCs w:val="28"/>
          <w:lang w:val="en-US"/>
        </w:rPr>
      </w:pPr>
      <w:proofErr w:type="spellStart"/>
      <w:r w:rsidRPr="007D039A">
        <w:rPr>
          <w:rFonts w:ascii="Times New Roman" w:hAnsi="Times New Roman"/>
          <w:sz w:val="28"/>
          <w:szCs w:val="28"/>
          <w:lang w:val="en-US"/>
        </w:rPr>
        <w:t>Tver</w:t>
      </w:r>
      <w:proofErr w:type="spellEnd"/>
      <w:r w:rsidRPr="007D039A">
        <w:rPr>
          <w:rFonts w:ascii="Times New Roman" w:hAnsi="Times New Roman"/>
          <w:sz w:val="28"/>
          <w:szCs w:val="28"/>
          <w:lang w:val="en-US"/>
        </w:rPr>
        <w:t xml:space="preserve"> state University</w:t>
      </w:r>
    </w:p>
    <w:p w:rsidR="008E1E68" w:rsidRPr="008E1E68" w:rsidRDefault="008E1E68" w:rsidP="008E1E68">
      <w:pPr>
        <w:spacing w:after="0" w:line="360" w:lineRule="auto"/>
        <w:ind w:left="454" w:firstLine="709"/>
        <w:jc w:val="both"/>
        <w:rPr>
          <w:rFonts w:ascii="Times New Roman" w:hAnsi="Times New Roman" w:cs="Times New Roman"/>
          <w:b/>
          <w:i/>
          <w:sz w:val="28"/>
          <w:szCs w:val="28"/>
          <w:lang w:val="en-US"/>
        </w:rPr>
      </w:pPr>
      <w:proofErr w:type="gramStart"/>
      <w:r w:rsidRPr="008E1E68">
        <w:rPr>
          <w:rFonts w:ascii="Times New Roman" w:hAnsi="Times New Roman" w:cs="Times New Roman"/>
          <w:b/>
          <w:i/>
          <w:sz w:val="28"/>
          <w:szCs w:val="28"/>
          <w:lang w:val="en-US"/>
        </w:rPr>
        <w:t>ANNOTATION.</w:t>
      </w:r>
      <w:proofErr w:type="gramEnd"/>
      <w:r w:rsidRPr="008E1E68">
        <w:rPr>
          <w:rFonts w:ascii="Times New Roman" w:hAnsi="Times New Roman" w:cs="Times New Roman"/>
          <w:b/>
          <w:i/>
          <w:sz w:val="28"/>
          <w:szCs w:val="28"/>
          <w:lang w:val="en-US"/>
        </w:rPr>
        <w:t xml:space="preserve"> The article identifies some categories of corporate disputes, the issue of jurisdiction of which has not been unambiguously resolved to date. The problems of assigning these disputes to the jurisdiction of arbitration courts or courts of general jurisdiction are determined. The analysis of judicial practice on the issues of consideration of corporate disputes is carried out.</w:t>
      </w:r>
    </w:p>
    <w:p w:rsidR="008E1E68" w:rsidRDefault="008E1E68" w:rsidP="008E1E68">
      <w:pPr>
        <w:spacing w:after="0" w:line="360" w:lineRule="auto"/>
        <w:ind w:left="454" w:firstLine="709"/>
        <w:jc w:val="both"/>
        <w:rPr>
          <w:rFonts w:ascii="Times New Roman" w:hAnsi="Times New Roman" w:cs="Times New Roman"/>
          <w:b/>
          <w:i/>
          <w:sz w:val="28"/>
          <w:szCs w:val="28"/>
        </w:rPr>
      </w:pPr>
      <w:proofErr w:type="gramStart"/>
      <w:r w:rsidRPr="008E1E68">
        <w:rPr>
          <w:rFonts w:ascii="Times New Roman" w:hAnsi="Times New Roman" w:cs="Times New Roman"/>
          <w:b/>
          <w:i/>
          <w:sz w:val="28"/>
          <w:szCs w:val="28"/>
          <w:lang w:val="en-US"/>
        </w:rPr>
        <w:t>KEYWORDS.</w:t>
      </w:r>
      <w:proofErr w:type="gramEnd"/>
      <w:r w:rsidRPr="008E1E68">
        <w:rPr>
          <w:rFonts w:ascii="Times New Roman" w:hAnsi="Times New Roman" w:cs="Times New Roman"/>
          <w:b/>
          <w:i/>
          <w:sz w:val="28"/>
          <w:szCs w:val="28"/>
          <w:lang w:val="en-US"/>
        </w:rPr>
        <w:t xml:space="preserve"> Jurisdiction, jurisdiction, corporate dispute, judicial authority, court of general jurisdiction, arbitration court, arbitration court.</w:t>
      </w:r>
    </w:p>
    <w:p w:rsidR="005A5C15" w:rsidRPr="004D569B" w:rsidRDefault="005A5C15" w:rsidP="008E1E68">
      <w:pPr>
        <w:spacing w:after="0" w:line="360" w:lineRule="auto"/>
        <w:ind w:left="454" w:firstLine="709"/>
        <w:jc w:val="both"/>
        <w:rPr>
          <w:rFonts w:ascii="Times New Roman" w:hAnsi="Times New Roman" w:cs="Times New Roman"/>
          <w:sz w:val="28"/>
          <w:szCs w:val="28"/>
        </w:rPr>
      </w:pPr>
      <w:r w:rsidRPr="00EB1A3F">
        <w:rPr>
          <w:rFonts w:ascii="Times New Roman" w:hAnsi="Times New Roman" w:cs="Times New Roman"/>
          <w:i/>
          <w:sz w:val="28"/>
          <w:szCs w:val="28"/>
        </w:rPr>
        <w:t>Об</w:t>
      </w:r>
      <w:r w:rsidRPr="008E1E68">
        <w:rPr>
          <w:rFonts w:ascii="Times New Roman" w:hAnsi="Times New Roman" w:cs="Times New Roman"/>
          <w:i/>
          <w:sz w:val="28"/>
          <w:szCs w:val="28"/>
        </w:rPr>
        <w:t xml:space="preserve"> </w:t>
      </w:r>
      <w:r w:rsidRPr="00EB1A3F">
        <w:rPr>
          <w:rFonts w:ascii="Times New Roman" w:hAnsi="Times New Roman" w:cs="Times New Roman"/>
          <w:i/>
          <w:sz w:val="28"/>
          <w:szCs w:val="28"/>
        </w:rPr>
        <w:t>авторе</w:t>
      </w:r>
      <w:r w:rsidRPr="008E1E68">
        <w:rPr>
          <w:rFonts w:ascii="Times New Roman" w:hAnsi="Times New Roman" w:cs="Times New Roman"/>
          <w:i/>
          <w:sz w:val="28"/>
          <w:szCs w:val="28"/>
        </w:rPr>
        <w:t>:</w:t>
      </w:r>
      <w:r w:rsidRPr="008E1E68">
        <w:rPr>
          <w:rFonts w:ascii="Times New Roman" w:hAnsi="Times New Roman" w:cs="Times New Roman"/>
          <w:sz w:val="28"/>
          <w:szCs w:val="28"/>
        </w:rPr>
        <w:t xml:space="preserve"> </w:t>
      </w:r>
      <w:proofErr w:type="spellStart"/>
      <w:r w:rsidRPr="007D039A">
        <w:rPr>
          <w:rFonts w:ascii="Times New Roman" w:hAnsi="Times New Roman" w:cs="Times New Roman"/>
          <w:sz w:val="28"/>
          <w:szCs w:val="28"/>
        </w:rPr>
        <w:t>Сабат</w:t>
      </w:r>
      <w:proofErr w:type="spellEnd"/>
      <w:r w:rsidRPr="008E1E68">
        <w:rPr>
          <w:rFonts w:ascii="Times New Roman" w:hAnsi="Times New Roman" w:cs="Times New Roman"/>
          <w:sz w:val="28"/>
          <w:szCs w:val="28"/>
        </w:rPr>
        <w:t xml:space="preserve"> </w:t>
      </w:r>
      <w:r w:rsidRPr="007D039A">
        <w:rPr>
          <w:rFonts w:ascii="Times New Roman" w:hAnsi="Times New Roman" w:cs="Times New Roman"/>
          <w:sz w:val="28"/>
          <w:szCs w:val="28"/>
        </w:rPr>
        <w:t>Я</w:t>
      </w:r>
      <w:r w:rsidR="007111D4">
        <w:rPr>
          <w:rFonts w:ascii="Times New Roman" w:hAnsi="Times New Roman" w:cs="Times New Roman"/>
          <w:sz w:val="28"/>
          <w:szCs w:val="28"/>
        </w:rPr>
        <w:t>на</w:t>
      </w:r>
      <w:r w:rsidR="007111D4" w:rsidRPr="008E1E68">
        <w:rPr>
          <w:rFonts w:ascii="Times New Roman" w:hAnsi="Times New Roman" w:cs="Times New Roman"/>
          <w:sz w:val="28"/>
          <w:szCs w:val="28"/>
        </w:rPr>
        <w:t xml:space="preserve"> </w:t>
      </w:r>
      <w:r w:rsidR="007111D4">
        <w:rPr>
          <w:rFonts w:ascii="Times New Roman" w:hAnsi="Times New Roman" w:cs="Times New Roman"/>
          <w:sz w:val="28"/>
          <w:szCs w:val="28"/>
        </w:rPr>
        <w:t>Эдуардовна</w:t>
      </w:r>
      <w:r w:rsidR="007111D4" w:rsidRPr="008E1E68">
        <w:rPr>
          <w:rFonts w:ascii="Times New Roman" w:hAnsi="Times New Roman" w:cs="Times New Roman"/>
          <w:sz w:val="28"/>
          <w:szCs w:val="28"/>
        </w:rPr>
        <w:t xml:space="preserve">- </w:t>
      </w:r>
      <w:r w:rsidR="007111D4">
        <w:rPr>
          <w:rFonts w:ascii="Times New Roman" w:hAnsi="Times New Roman" w:cs="Times New Roman"/>
          <w:sz w:val="28"/>
          <w:szCs w:val="28"/>
        </w:rPr>
        <w:t>студентка</w:t>
      </w:r>
      <w:r w:rsidR="007111D4" w:rsidRPr="008E1E68">
        <w:rPr>
          <w:rFonts w:ascii="Times New Roman" w:hAnsi="Times New Roman" w:cs="Times New Roman"/>
          <w:sz w:val="28"/>
          <w:szCs w:val="28"/>
        </w:rPr>
        <w:t xml:space="preserve"> </w:t>
      </w:r>
      <w:r w:rsidR="007111D4">
        <w:rPr>
          <w:rFonts w:ascii="Times New Roman" w:hAnsi="Times New Roman" w:cs="Times New Roman"/>
          <w:sz w:val="28"/>
          <w:szCs w:val="28"/>
        </w:rPr>
        <w:t>второго</w:t>
      </w:r>
      <w:r w:rsidRPr="008E1E68">
        <w:rPr>
          <w:rFonts w:ascii="Times New Roman" w:hAnsi="Times New Roman" w:cs="Times New Roman"/>
          <w:sz w:val="28"/>
          <w:szCs w:val="28"/>
        </w:rPr>
        <w:t xml:space="preserve"> </w:t>
      </w:r>
      <w:r w:rsidRPr="007D039A">
        <w:rPr>
          <w:rFonts w:ascii="Times New Roman" w:hAnsi="Times New Roman" w:cs="Times New Roman"/>
          <w:sz w:val="28"/>
          <w:szCs w:val="28"/>
        </w:rPr>
        <w:t>года</w:t>
      </w:r>
      <w:r w:rsidRPr="008E1E68">
        <w:rPr>
          <w:rFonts w:ascii="Times New Roman" w:hAnsi="Times New Roman" w:cs="Times New Roman"/>
          <w:sz w:val="28"/>
          <w:szCs w:val="28"/>
        </w:rPr>
        <w:t xml:space="preserve"> </w:t>
      </w:r>
      <w:r w:rsidRPr="007D039A">
        <w:rPr>
          <w:rFonts w:ascii="Times New Roman" w:hAnsi="Times New Roman" w:cs="Times New Roman"/>
          <w:sz w:val="28"/>
          <w:szCs w:val="28"/>
        </w:rPr>
        <w:t>обучения</w:t>
      </w:r>
      <w:r w:rsidRPr="008E1E68">
        <w:rPr>
          <w:rFonts w:ascii="Times New Roman" w:hAnsi="Times New Roman" w:cs="Times New Roman"/>
          <w:sz w:val="28"/>
          <w:szCs w:val="28"/>
        </w:rPr>
        <w:t xml:space="preserve"> </w:t>
      </w:r>
      <w:r w:rsidRPr="007D039A">
        <w:rPr>
          <w:rFonts w:ascii="Times New Roman" w:hAnsi="Times New Roman" w:cs="Times New Roman"/>
          <w:sz w:val="28"/>
          <w:szCs w:val="28"/>
        </w:rPr>
        <w:t>в</w:t>
      </w:r>
      <w:r w:rsidRPr="008E1E68">
        <w:rPr>
          <w:rFonts w:ascii="Times New Roman" w:hAnsi="Times New Roman" w:cs="Times New Roman"/>
          <w:sz w:val="28"/>
          <w:szCs w:val="28"/>
        </w:rPr>
        <w:t xml:space="preserve"> </w:t>
      </w:r>
      <w:r w:rsidRPr="007D039A">
        <w:rPr>
          <w:rFonts w:ascii="Times New Roman" w:hAnsi="Times New Roman" w:cs="Times New Roman"/>
          <w:sz w:val="28"/>
          <w:szCs w:val="28"/>
        </w:rPr>
        <w:t>магистратуре</w:t>
      </w:r>
      <w:r w:rsidRPr="008E1E68">
        <w:rPr>
          <w:rFonts w:ascii="Times New Roman" w:hAnsi="Times New Roman" w:cs="Times New Roman"/>
          <w:sz w:val="28"/>
          <w:szCs w:val="28"/>
        </w:rPr>
        <w:t xml:space="preserve"> </w:t>
      </w:r>
      <w:r w:rsidRPr="007D039A">
        <w:rPr>
          <w:rFonts w:ascii="Times New Roman" w:hAnsi="Times New Roman" w:cs="Times New Roman"/>
          <w:sz w:val="28"/>
          <w:szCs w:val="28"/>
        </w:rPr>
        <w:t>юридического</w:t>
      </w:r>
      <w:r w:rsidRPr="008E1E68">
        <w:rPr>
          <w:rFonts w:ascii="Times New Roman" w:hAnsi="Times New Roman" w:cs="Times New Roman"/>
          <w:sz w:val="28"/>
          <w:szCs w:val="28"/>
        </w:rPr>
        <w:t xml:space="preserve"> </w:t>
      </w:r>
      <w:r w:rsidRPr="007D039A">
        <w:rPr>
          <w:rFonts w:ascii="Times New Roman" w:hAnsi="Times New Roman" w:cs="Times New Roman"/>
          <w:sz w:val="28"/>
          <w:szCs w:val="28"/>
        </w:rPr>
        <w:t>факультета</w:t>
      </w:r>
      <w:r w:rsidRPr="008E1E68">
        <w:rPr>
          <w:rFonts w:ascii="Times New Roman" w:hAnsi="Times New Roman" w:cs="Times New Roman"/>
          <w:sz w:val="28"/>
          <w:szCs w:val="28"/>
        </w:rPr>
        <w:t xml:space="preserve"> </w:t>
      </w:r>
      <w:r w:rsidRPr="007D039A">
        <w:rPr>
          <w:rFonts w:ascii="Times New Roman" w:hAnsi="Times New Roman" w:cs="Times New Roman"/>
          <w:sz w:val="28"/>
          <w:szCs w:val="28"/>
        </w:rPr>
        <w:t>Тверского</w:t>
      </w:r>
      <w:r w:rsidRPr="008E1E68">
        <w:rPr>
          <w:rFonts w:ascii="Times New Roman" w:hAnsi="Times New Roman" w:cs="Times New Roman"/>
          <w:sz w:val="28"/>
          <w:szCs w:val="28"/>
        </w:rPr>
        <w:t xml:space="preserve"> </w:t>
      </w:r>
      <w:r w:rsidRPr="007D039A">
        <w:rPr>
          <w:rFonts w:ascii="Times New Roman" w:hAnsi="Times New Roman" w:cs="Times New Roman"/>
          <w:sz w:val="28"/>
          <w:szCs w:val="28"/>
        </w:rPr>
        <w:t>Государственного</w:t>
      </w:r>
      <w:r w:rsidRPr="008E1E68">
        <w:rPr>
          <w:rFonts w:ascii="Times New Roman" w:hAnsi="Times New Roman" w:cs="Times New Roman"/>
          <w:sz w:val="28"/>
          <w:szCs w:val="28"/>
        </w:rPr>
        <w:t xml:space="preserve"> </w:t>
      </w:r>
      <w:r w:rsidRPr="007D039A">
        <w:rPr>
          <w:rFonts w:ascii="Times New Roman" w:hAnsi="Times New Roman" w:cs="Times New Roman"/>
          <w:sz w:val="28"/>
          <w:szCs w:val="28"/>
        </w:rPr>
        <w:t>Университета</w:t>
      </w:r>
      <w:r w:rsidRPr="008E1E68">
        <w:rPr>
          <w:rFonts w:ascii="Times New Roman" w:hAnsi="Times New Roman" w:cs="Times New Roman"/>
          <w:sz w:val="28"/>
          <w:szCs w:val="28"/>
        </w:rPr>
        <w:t xml:space="preserve"> </w:t>
      </w:r>
      <w:r w:rsidRPr="007D039A">
        <w:rPr>
          <w:rFonts w:ascii="Times New Roman" w:hAnsi="Times New Roman" w:cs="Times New Roman"/>
          <w:sz w:val="28"/>
          <w:szCs w:val="28"/>
        </w:rPr>
        <w:t>по</w:t>
      </w:r>
      <w:r w:rsidRPr="008E1E68">
        <w:rPr>
          <w:rFonts w:ascii="Times New Roman" w:hAnsi="Times New Roman" w:cs="Times New Roman"/>
          <w:sz w:val="28"/>
          <w:szCs w:val="28"/>
        </w:rPr>
        <w:t xml:space="preserve"> </w:t>
      </w:r>
      <w:r w:rsidRPr="007D039A">
        <w:rPr>
          <w:rFonts w:ascii="Times New Roman" w:hAnsi="Times New Roman" w:cs="Times New Roman"/>
          <w:sz w:val="28"/>
          <w:szCs w:val="28"/>
        </w:rPr>
        <w:t>направлению</w:t>
      </w:r>
      <w:r w:rsidRPr="008E1E68">
        <w:rPr>
          <w:rFonts w:ascii="Times New Roman" w:hAnsi="Times New Roman" w:cs="Times New Roman"/>
          <w:sz w:val="28"/>
          <w:szCs w:val="28"/>
        </w:rPr>
        <w:t xml:space="preserve"> </w:t>
      </w:r>
      <w:r w:rsidRPr="007D039A">
        <w:rPr>
          <w:rFonts w:ascii="Times New Roman" w:hAnsi="Times New Roman" w:cs="Times New Roman"/>
          <w:sz w:val="28"/>
          <w:szCs w:val="28"/>
        </w:rPr>
        <w:t>«Судебная защита прав и законных интересов» (170100, г</w:t>
      </w:r>
      <w:proofErr w:type="gramStart"/>
      <w:r w:rsidRPr="007D039A">
        <w:rPr>
          <w:rFonts w:ascii="Times New Roman" w:hAnsi="Times New Roman" w:cs="Times New Roman"/>
          <w:sz w:val="28"/>
          <w:szCs w:val="28"/>
        </w:rPr>
        <w:t>.Т</w:t>
      </w:r>
      <w:proofErr w:type="gramEnd"/>
      <w:r w:rsidRPr="007D039A">
        <w:rPr>
          <w:rFonts w:ascii="Times New Roman" w:hAnsi="Times New Roman" w:cs="Times New Roman"/>
          <w:sz w:val="28"/>
          <w:szCs w:val="28"/>
        </w:rPr>
        <w:t>верь, ул. Желябова</w:t>
      </w:r>
      <w:r w:rsidRPr="004D569B">
        <w:rPr>
          <w:rFonts w:ascii="Times New Roman" w:hAnsi="Times New Roman" w:cs="Times New Roman"/>
          <w:sz w:val="28"/>
          <w:szCs w:val="28"/>
        </w:rPr>
        <w:t xml:space="preserve">, </w:t>
      </w:r>
      <w:r w:rsidRPr="007D039A">
        <w:rPr>
          <w:rFonts w:ascii="Times New Roman" w:hAnsi="Times New Roman" w:cs="Times New Roman"/>
          <w:sz w:val="28"/>
          <w:szCs w:val="28"/>
        </w:rPr>
        <w:t>д</w:t>
      </w:r>
      <w:r w:rsidRPr="004D569B">
        <w:rPr>
          <w:rFonts w:ascii="Times New Roman" w:hAnsi="Times New Roman" w:cs="Times New Roman"/>
          <w:sz w:val="28"/>
          <w:szCs w:val="28"/>
        </w:rPr>
        <w:t xml:space="preserve">. 33), </w:t>
      </w:r>
      <w:r w:rsidRPr="007D039A">
        <w:rPr>
          <w:rFonts w:ascii="Times New Roman" w:hAnsi="Times New Roman" w:cs="Times New Roman"/>
          <w:sz w:val="28"/>
          <w:szCs w:val="28"/>
        </w:rPr>
        <w:t>электронная</w:t>
      </w:r>
      <w:r w:rsidRPr="004D569B">
        <w:rPr>
          <w:rFonts w:ascii="Times New Roman" w:hAnsi="Times New Roman" w:cs="Times New Roman"/>
          <w:sz w:val="28"/>
          <w:szCs w:val="28"/>
        </w:rPr>
        <w:t xml:space="preserve"> </w:t>
      </w:r>
      <w:r w:rsidRPr="007D039A">
        <w:rPr>
          <w:rFonts w:ascii="Times New Roman" w:hAnsi="Times New Roman" w:cs="Times New Roman"/>
          <w:sz w:val="28"/>
          <w:szCs w:val="28"/>
        </w:rPr>
        <w:t>почта</w:t>
      </w:r>
      <w:r w:rsidRPr="004D569B">
        <w:rPr>
          <w:rFonts w:ascii="Times New Roman" w:hAnsi="Times New Roman" w:cs="Times New Roman"/>
          <w:sz w:val="28"/>
          <w:szCs w:val="28"/>
        </w:rPr>
        <w:t xml:space="preserve">- </w:t>
      </w:r>
      <w:hyperlink r:id="rId10" w:history="1">
        <w:r w:rsidRPr="007D039A">
          <w:rPr>
            <w:rStyle w:val="a4"/>
            <w:rFonts w:ascii="Times New Roman" w:hAnsi="Times New Roman" w:cs="Times New Roman"/>
            <w:sz w:val="28"/>
            <w:szCs w:val="28"/>
            <w:lang w:val="en-US"/>
          </w:rPr>
          <w:t>yana</w:t>
        </w:r>
        <w:r w:rsidRPr="004D569B">
          <w:rPr>
            <w:rStyle w:val="a4"/>
            <w:rFonts w:ascii="Times New Roman" w:hAnsi="Times New Roman" w:cs="Times New Roman"/>
            <w:sz w:val="28"/>
            <w:szCs w:val="28"/>
          </w:rPr>
          <w:t>-</w:t>
        </w:r>
        <w:r w:rsidRPr="007D039A">
          <w:rPr>
            <w:rStyle w:val="a4"/>
            <w:rFonts w:ascii="Times New Roman" w:hAnsi="Times New Roman" w:cs="Times New Roman"/>
            <w:sz w:val="28"/>
            <w:szCs w:val="28"/>
            <w:lang w:val="en-US"/>
          </w:rPr>
          <w:t>sabat</w:t>
        </w:r>
        <w:r w:rsidRPr="004D569B">
          <w:rPr>
            <w:rStyle w:val="a4"/>
            <w:rFonts w:ascii="Times New Roman" w:hAnsi="Times New Roman" w:cs="Times New Roman"/>
            <w:sz w:val="28"/>
            <w:szCs w:val="28"/>
          </w:rPr>
          <w:t>@</w:t>
        </w:r>
        <w:r w:rsidRPr="007D039A">
          <w:rPr>
            <w:rStyle w:val="a4"/>
            <w:rFonts w:ascii="Times New Roman" w:hAnsi="Times New Roman" w:cs="Times New Roman"/>
            <w:sz w:val="28"/>
            <w:szCs w:val="28"/>
            <w:lang w:val="en-US"/>
          </w:rPr>
          <w:t>yandex</w:t>
        </w:r>
        <w:r w:rsidRPr="004D569B">
          <w:rPr>
            <w:rStyle w:val="a4"/>
            <w:rFonts w:ascii="Times New Roman" w:hAnsi="Times New Roman" w:cs="Times New Roman"/>
            <w:sz w:val="28"/>
            <w:szCs w:val="28"/>
          </w:rPr>
          <w:t>.</w:t>
        </w:r>
        <w:r w:rsidRPr="007D039A">
          <w:rPr>
            <w:rStyle w:val="a4"/>
            <w:rFonts w:ascii="Times New Roman" w:hAnsi="Times New Roman" w:cs="Times New Roman"/>
            <w:sz w:val="28"/>
            <w:szCs w:val="28"/>
            <w:lang w:val="en-US"/>
          </w:rPr>
          <w:t>ru</w:t>
        </w:r>
      </w:hyperlink>
      <w:r w:rsidRPr="004D569B">
        <w:rPr>
          <w:rFonts w:ascii="Times New Roman" w:hAnsi="Times New Roman" w:cs="Times New Roman"/>
          <w:sz w:val="28"/>
          <w:szCs w:val="28"/>
        </w:rPr>
        <w:t>.</w:t>
      </w:r>
    </w:p>
    <w:p w:rsidR="005A5C15" w:rsidRPr="007D039A" w:rsidRDefault="007D039A" w:rsidP="007D039A">
      <w:pPr>
        <w:spacing w:after="0" w:line="360" w:lineRule="auto"/>
        <w:ind w:left="454" w:firstLine="709"/>
        <w:jc w:val="both"/>
        <w:rPr>
          <w:rFonts w:ascii="Times New Roman" w:hAnsi="Times New Roman" w:cs="Times New Roman"/>
          <w:sz w:val="28"/>
          <w:szCs w:val="28"/>
          <w:lang w:val="en-US"/>
        </w:rPr>
      </w:pPr>
      <w:r w:rsidRPr="007D039A">
        <w:rPr>
          <w:rFonts w:ascii="Times New Roman" w:hAnsi="Times New Roman" w:cs="Times New Roman"/>
          <w:sz w:val="28"/>
          <w:szCs w:val="28"/>
          <w:lang w:val="en-US"/>
        </w:rPr>
        <w:t xml:space="preserve">About author: </w:t>
      </w:r>
      <w:proofErr w:type="spellStart"/>
      <w:r w:rsidRPr="007D039A">
        <w:rPr>
          <w:rFonts w:ascii="Times New Roman" w:hAnsi="Times New Roman" w:cs="Times New Roman"/>
          <w:sz w:val="28"/>
          <w:szCs w:val="28"/>
          <w:lang w:val="en-US"/>
        </w:rPr>
        <w:t>Sabat</w:t>
      </w:r>
      <w:proofErr w:type="spellEnd"/>
      <w:r w:rsidRPr="007D039A">
        <w:rPr>
          <w:rFonts w:ascii="Times New Roman" w:hAnsi="Times New Roman" w:cs="Times New Roman"/>
          <w:sz w:val="28"/>
          <w:szCs w:val="28"/>
          <w:lang w:val="en-US"/>
        </w:rPr>
        <w:t xml:space="preserve"> Yana</w:t>
      </w:r>
      <w:r w:rsidR="005A5C15" w:rsidRPr="007D039A">
        <w:rPr>
          <w:rFonts w:ascii="Times New Roman" w:hAnsi="Times New Roman" w:cs="Times New Roman"/>
          <w:sz w:val="28"/>
          <w:szCs w:val="28"/>
          <w:lang w:val="en-US"/>
        </w:rPr>
        <w:t xml:space="preserve"> </w:t>
      </w:r>
      <w:proofErr w:type="spellStart"/>
      <w:r w:rsidR="005A5C15" w:rsidRPr="007D039A">
        <w:rPr>
          <w:rFonts w:ascii="Times New Roman" w:hAnsi="Times New Roman" w:cs="Times New Roman"/>
          <w:sz w:val="28"/>
          <w:szCs w:val="28"/>
          <w:lang w:val="en-US"/>
        </w:rPr>
        <w:t>E</w:t>
      </w:r>
      <w:r w:rsidRPr="007D039A">
        <w:rPr>
          <w:rFonts w:ascii="Times New Roman" w:hAnsi="Times New Roman" w:cs="Times New Roman"/>
          <w:sz w:val="28"/>
          <w:szCs w:val="28"/>
          <w:lang w:val="en-US"/>
        </w:rPr>
        <w:t>duardovna</w:t>
      </w:r>
      <w:proofErr w:type="spellEnd"/>
      <w:r w:rsidRPr="007D039A">
        <w:rPr>
          <w:rFonts w:ascii="Times New Roman" w:hAnsi="Times New Roman" w:cs="Times New Roman"/>
          <w:sz w:val="28"/>
          <w:szCs w:val="28"/>
          <w:lang w:val="en-US"/>
        </w:rPr>
        <w:t>-</w:t>
      </w:r>
      <w:r w:rsidR="005A5C15" w:rsidRPr="007D039A">
        <w:rPr>
          <w:rFonts w:ascii="Times New Roman" w:hAnsi="Times New Roman" w:cs="Times New Roman"/>
          <w:sz w:val="28"/>
          <w:szCs w:val="28"/>
          <w:lang w:val="en-US"/>
        </w:rPr>
        <w:t xml:space="preserve"> stude</w:t>
      </w:r>
      <w:r w:rsidR="007111D4">
        <w:rPr>
          <w:rFonts w:ascii="Times New Roman" w:hAnsi="Times New Roman" w:cs="Times New Roman"/>
          <w:sz w:val="28"/>
          <w:szCs w:val="28"/>
          <w:lang w:val="en-US"/>
        </w:rPr>
        <w:t>nt of the second</w:t>
      </w:r>
      <w:r w:rsidRPr="007D039A">
        <w:rPr>
          <w:rFonts w:ascii="Times New Roman" w:hAnsi="Times New Roman" w:cs="Times New Roman"/>
          <w:sz w:val="28"/>
          <w:szCs w:val="28"/>
          <w:lang w:val="en-US"/>
        </w:rPr>
        <w:t xml:space="preserve"> year of magistracy</w:t>
      </w:r>
      <w:r w:rsidR="005A5C15" w:rsidRPr="007D039A">
        <w:rPr>
          <w:rFonts w:ascii="Times New Roman" w:hAnsi="Times New Roman" w:cs="Times New Roman"/>
          <w:sz w:val="28"/>
          <w:szCs w:val="28"/>
          <w:lang w:val="en-US"/>
        </w:rPr>
        <w:t xml:space="preserve"> in</w:t>
      </w:r>
      <w:r w:rsidRPr="007D039A">
        <w:rPr>
          <w:rFonts w:ascii="Times New Roman" w:hAnsi="Times New Roman" w:cs="Times New Roman"/>
          <w:sz w:val="28"/>
          <w:szCs w:val="28"/>
          <w:lang w:val="en-US"/>
        </w:rPr>
        <w:t xml:space="preserve"> the field of "Judicial Protection of the rights and legitimate interests"  of the Faculty of Law</w:t>
      </w:r>
      <w:r w:rsidR="005A5C15" w:rsidRPr="007D039A">
        <w:rPr>
          <w:rFonts w:ascii="Times New Roman" w:hAnsi="Times New Roman" w:cs="Times New Roman"/>
          <w:sz w:val="28"/>
          <w:szCs w:val="28"/>
          <w:lang w:val="en-US"/>
        </w:rPr>
        <w:t xml:space="preserve"> of </w:t>
      </w:r>
      <w:proofErr w:type="spellStart"/>
      <w:r w:rsidR="005A5C15" w:rsidRPr="007D039A">
        <w:rPr>
          <w:rFonts w:ascii="Times New Roman" w:hAnsi="Times New Roman" w:cs="Times New Roman"/>
          <w:sz w:val="28"/>
          <w:szCs w:val="28"/>
          <w:lang w:val="en-US"/>
        </w:rPr>
        <w:t>Tver</w:t>
      </w:r>
      <w:proofErr w:type="spellEnd"/>
      <w:r w:rsidR="005A5C15" w:rsidRPr="007D039A">
        <w:rPr>
          <w:rFonts w:ascii="Times New Roman" w:hAnsi="Times New Roman" w:cs="Times New Roman"/>
          <w:sz w:val="28"/>
          <w:szCs w:val="28"/>
          <w:lang w:val="en-US"/>
        </w:rPr>
        <w:t xml:space="preserve"> State University (170100, </w:t>
      </w:r>
      <w:proofErr w:type="spellStart"/>
      <w:r w:rsidR="005A5C15" w:rsidRPr="007D039A">
        <w:rPr>
          <w:rFonts w:ascii="Times New Roman" w:hAnsi="Times New Roman" w:cs="Times New Roman"/>
          <w:sz w:val="28"/>
          <w:szCs w:val="28"/>
          <w:lang w:val="en-US"/>
        </w:rPr>
        <w:t>Tver</w:t>
      </w:r>
      <w:proofErr w:type="spellEnd"/>
      <w:r w:rsidR="005A5C15" w:rsidRPr="007D039A">
        <w:rPr>
          <w:rFonts w:ascii="Times New Roman" w:hAnsi="Times New Roman" w:cs="Times New Roman"/>
          <w:sz w:val="28"/>
          <w:szCs w:val="28"/>
          <w:lang w:val="en-US"/>
        </w:rPr>
        <w:t>,</w:t>
      </w:r>
      <w:r w:rsidRPr="007D039A">
        <w:rPr>
          <w:rFonts w:ascii="Times New Roman" w:hAnsi="Times New Roman" w:cs="Times New Roman"/>
          <w:sz w:val="28"/>
          <w:szCs w:val="28"/>
          <w:lang w:val="en-US"/>
        </w:rPr>
        <w:t xml:space="preserve"> </w:t>
      </w:r>
      <w:proofErr w:type="spellStart"/>
      <w:r w:rsidRPr="007D039A">
        <w:rPr>
          <w:rFonts w:ascii="Times New Roman" w:hAnsi="Times New Roman" w:cs="Times New Roman"/>
          <w:sz w:val="28"/>
          <w:szCs w:val="28"/>
          <w:lang w:val="en-US"/>
        </w:rPr>
        <w:t>Zhelyabov</w:t>
      </w:r>
      <w:proofErr w:type="spellEnd"/>
      <w:r w:rsidRPr="007D039A">
        <w:rPr>
          <w:rFonts w:ascii="Times New Roman" w:hAnsi="Times New Roman" w:cs="Times New Roman"/>
          <w:sz w:val="28"/>
          <w:szCs w:val="28"/>
          <w:lang w:val="en-US"/>
        </w:rPr>
        <w:t xml:space="preserve"> St., 33), e-</w:t>
      </w:r>
      <w:r w:rsidR="005A5C15" w:rsidRPr="007D039A">
        <w:rPr>
          <w:rFonts w:ascii="Times New Roman" w:hAnsi="Times New Roman" w:cs="Times New Roman"/>
          <w:sz w:val="28"/>
          <w:szCs w:val="28"/>
          <w:lang w:val="en-US"/>
        </w:rPr>
        <w:t>mail - yana-sabat@yandex.ru.</w:t>
      </w:r>
    </w:p>
    <w:p w:rsidR="007D039A" w:rsidRPr="007D039A" w:rsidRDefault="007D039A">
      <w:pPr>
        <w:spacing w:after="0" w:line="360" w:lineRule="auto"/>
        <w:ind w:left="454" w:firstLine="709"/>
        <w:jc w:val="center"/>
        <w:rPr>
          <w:rFonts w:ascii="Times New Roman" w:hAnsi="Times New Roman" w:cs="Times New Roman"/>
          <w:sz w:val="28"/>
          <w:szCs w:val="28"/>
          <w:lang w:val="en-US"/>
        </w:rPr>
      </w:pPr>
    </w:p>
    <w:sectPr w:rsidR="007D039A" w:rsidRPr="007D039A" w:rsidSect="004D569B">
      <w:headerReference w:type="default" r:id="rId11"/>
      <w:headerReference w:type="first" r:id="rId12"/>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735" w:rsidRDefault="00C53735" w:rsidP="00C53735">
      <w:pPr>
        <w:spacing w:after="0" w:line="240" w:lineRule="auto"/>
      </w:pPr>
      <w:r>
        <w:separator/>
      </w:r>
    </w:p>
  </w:endnote>
  <w:endnote w:type="continuationSeparator" w:id="0">
    <w:p w:rsidR="00C53735" w:rsidRDefault="00C53735" w:rsidP="00C53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735" w:rsidRDefault="00C53735" w:rsidP="00C53735">
      <w:pPr>
        <w:spacing w:after="0" w:line="240" w:lineRule="auto"/>
      </w:pPr>
      <w:r>
        <w:separator/>
      </w:r>
    </w:p>
  </w:footnote>
  <w:footnote w:type="continuationSeparator" w:id="0">
    <w:p w:rsidR="00C53735" w:rsidRDefault="00C53735" w:rsidP="00C537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250265"/>
    </w:sdtPr>
    <w:sdtContent>
      <w:p w:rsidR="00FF73C8" w:rsidRDefault="0064200C">
        <w:pPr>
          <w:pStyle w:val="a9"/>
          <w:jc w:val="center"/>
        </w:pPr>
        <w:fldSimple w:instr=" PAGE   \* MERGEFORMAT ">
          <w:r w:rsidR="00CF5B12">
            <w:rPr>
              <w:noProof/>
            </w:rPr>
            <w:t>2</w:t>
          </w:r>
        </w:fldSimple>
      </w:p>
    </w:sdtContent>
  </w:sdt>
  <w:p w:rsidR="00FF73C8" w:rsidRDefault="00FF73C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250267"/>
    </w:sdtPr>
    <w:sdtContent>
      <w:p w:rsidR="004D569B" w:rsidRDefault="0064200C">
        <w:pPr>
          <w:pStyle w:val="a9"/>
          <w:jc w:val="center"/>
        </w:pPr>
        <w:fldSimple w:instr=" PAGE   \* MERGEFORMAT ">
          <w:r w:rsidR="00CF5B12">
            <w:rPr>
              <w:noProof/>
            </w:rPr>
            <w:t>1</w:t>
          </w:r>
        </w:fldSimple>
      </w:p>
    </w:sdtContent>
  </w:sdt>
  <w:p w:rsidR="004D569B" w:rsidRDefault="004D569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7A11"/>
    <w:multiLevelType w:val="hybridMultilevel"/>
    <w:tmpl w:val="7C4A84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DF2A41"/>
    <w:multiLevelType w:val="hybridMultilevel"/>
    <w:tmpl w:val="5E543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53735"/>
    <w:rsid w:val="00051014"/>
    <w:rsid w:val="002166D1"/>
    <w:rsid w:val="00254D34"/>
    <w:rsid w:val="004D569B"/>
    <w:rsid w:val="005A5C15"/>
    <w:rsid w:val="0064200C"/>
    <w:rsid w:val="007111D4"/>
    <w:rsid w:val="007D039A"/>
    <w:rsid w:val="008E1E68"/>
    <w:rsid w:val="00AE04A4"/>
    <w:rsid w:val="00B74CA2"/>
    <w:rsid w:val="00C53735"/>
    <w:rsid w:val="00CF5B12"/>
    <w:rsid w:val="00EB1A3F"/>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34"/>
  </w:style>
  <w:style w:type="paragraph" w:styleId="1">
    <w:name w:val="heading 1"/>
    <w:basedOn w:val="a"/>
    <w:next w:val="a"/>
    <w:link w:val="10"/>
    <w:uiPriority w:val="9"/>
    <w:qFormat/>
    <w:rsid w:val="00C53735"/>
    <w:pPr>
      <w:keepNext/>
      <w:spacing w:before="240" w:after="60"/>
      <w:jc w:val="both"/>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735"/>
    <w:rPr>
      <w:rFonts w:ascii="Cambria" w:eastAsia="Times New Roman" w:hAnsi="Cambria" w:cs="Times New Roman"/>
      <w:b/>
      <w:bCs/>
      <w:kern w:val="32"/>
      <w:sz w:val="32"/>
      <w:szCs w:val="32"/>
      <w:lang w:eastAsia="en-US"/>
    </w:rPr>
  </w:style>
  <w:style w:type="paragraph" w:styleId="a3">
    <w:name w:val="Normal (Web)"/>
    <w:basedOn w:val="a"/>
    <w:uiPriority w:val="99"/>
    <w:unhideWhenUsed/>
    <w:rsid w:val="00C537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53735"/>
    <w:rPr>
      <w:color w:val="0000FF"/>
      <w:u w:val="single"/>
    </w:rPr>
  </w:style>
  <w:style w:type="paragraph" w:styleId="a5">
    <w:name w:val="footnote text"/>
    <w:basedOn w:val="a"/>
    <w:link w:val="a6"/>
    <w:uiPriority w:val="99"/>
    <w:semiHidden/>
    <w:unhideWhenUsed/>
    <w:rsid w:val="00C53735"/>
    <w:pPr>
      <w:jc w:val="both"/>
    </w:pPr>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C53735"/>
    <w:rPr>
      <w:rFonts w:ascii="Calibri" w:eastAsia="Calibri" w:hAnsi="Calibri" w:cs="Times New Roman"/>
      <w:sz w:val="20"/>
      <w:szCs w:val="20"/>
      <w:lang w:eastAsia="en-US"/>
    </w:rPr>
  </w:style>
  <w:style w:type="character" w:styleId="a7">
    <w:name w:val="footnote reference"/>
    <w:basedOn w:val="a0"/>
    <w:uiPriority w:val="99"/>
    <w:semiHidden/>
    <w:unhideWhenUsed/>
    <w:rsid w:val="00C53735"/>
    <w:rPr>
      <w:vertAlign w:val="superscript"/>
    </w:rPr>
  </w:style>
  <w:style w:type="character" w:styleId="a8">
    <w:name w:val="line number"/>
    <w:basedOn w:val="a0"/>
    <w:uiPriority w:val="99"/>
    <w:semiHidden/>
    <w:unhideWhenUsed/>
    <w:rsid w:val="00FF73C8"/>
  </w:style>
  <w:style w:type="paragraph" w:styleId="a9">
    <w:name w:val="header"/>
    <w:basedOn w:val="a"/>
    <w:link w:val="aa"/>
    <w:uiPriority w:val="99"/>
    <w:unhideWhenUsed/>
    <w:rsid w:val="00FF73C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3C8"/>
  </w:style>
  <w:style w:type="paragraph" w:styleId="ab">
    <w:name w:val="footer"/>
    <w:basedOn w:val="a"/>
    <w:link w:val="ac"/>
    <w:uiPriority w:val="99"/>
    <w:semiHidden/>
    <w:unhideWhenUsed/>
    <w:rsid w:val="00FF73C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F73C8"/>
  </w:style>
  <w:style w:type="paragraph" w:styleId="ad">
    <w:name w:val="List Paragraph"/>
    <w:basedOn w:val="a"/>
    <w:uiPriority w:val="34"/>
    <w:qFormat/>
    <w:rsid w:val="008E1E68"/>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dact.ru&#10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yana-sabat@yandex.ru" TargetMode="External"/><Relationship Id="rId4" Type="http://schemas.openxmlformats.org/officeDocument/2006/relationships/settings" Target="settings.xml"/><Relationship Id="rId9" Type="http://schemas.openxmlformats.org/officeDocument/2006/relationships/hyperlink" Target="http://sudact.ru&#108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00E22-F9AA-4DB2-93F2-20C19391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2102</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User</cp:lastModifiedBy>
  <cp:revision>5</cp:revision>
  <dcterms:created xsi:type="dcterms:W3CDTF">2017-09-05T20:30:00Z</dcterms:created>
  <dcterms:modified xsi:type="dcterms:W3CDTF">2018-03-03T16:23:00Z</dcterms:modified>
</cp:coreProperties>
</file>