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0B" w:rsidRPr="00451731" w:rsidRDefault="0005720B" w:rsidP="0005720B">
      <w:pPr>
        <w:pStyle w:val="-"/>
        <w:rPr>
          <w:rFonts w:eastAsia="Calibri"/>
          <w:sz w:val="24"/>
          <w:szCs w:val="24"/>
        </w:rPr>
      </w:pPr>
      <w:r>
        <w:rPr>
          <w:rFonts w:eastAsia="Calibri"/>
          <w:sz w:val="24"/>
          <w:szCs w:val="24"/>
        </w:rPr>
        <w:t xml:space="preserve">УДК </w:t>
      </w:r>
    </w:p>
    <w:p w:rsidR="0005720B" w:rsidRPr="00451731" w:rsidRDefault="0005720B" w:rsidP="0005720B">
      <w:pPr>
        <w:pStyle w:val="-1"/>
        <w:rPr>
          <w:szCs w:val="24"/>
        </w:rPr>
      </w:pPr>
      <w:r>
        <w:rPr>
          <w:szCs w:val="24"/>
        </w:rPr>
        <w:t>ПРОБЛЕМЫ ОПРЕДЕЛЕНИЯ ДЕЕСПОСОБНОСТИ ГРАЖДАН ПРИ СОВЕРШЕНИИ НОТАРИАЛЬНЫХ ДЕЙСТВИЙ</w:t>
      </w:r>
    </w:p>
    <w:p w:rsidR="0005720B" w:rsidRPr="00451731" w:rsidRDefault="0005720B" w:rsidP="0005720B">
      <w:pPr>
        <w:pStyle w:val="-3"/>
        <w:rPr>
          <w:szCs w:val="24"/>
        </w:rPr>
      </w:pPr>
    </w:p>
    <w:p w:rsidR="0005720B" w:rsidRPr="00451731" w:rsidRDefault="0005720B" w:rsidP="0005720B">
      <w:pPr>
        <w:pStyle w:val="-3"/>
        <w:rPr>
          <w:szCs w:val="24"/>
        </w:rPr>
      </w:pPr>
      <w:r>
        <w:rPr>
          <w:szCs w:val="24"/>
        </w:rPr>
        <w:t>С.С. Ерёменко</w:t>
      </w:r>
    </w:p>
    <w:p w:rsidR="0005720B" w:rsidRPr="00451731" w:rsidRDefault="0005720B" w:rsidP="0005720B">
      <w:pPr>
        <w:pStyle w:val="-4"/>
        <w:rPr>
          <w:sz w:val="24"/>
          <w:szCs w:val="24"/>
        </w:rPr>
      </w:pPr>
      <w:r>
        <w:rPr>
          <w:sz w:val="24"/>
          <w:szCs w:val="24"/>
        </w:rPr>
        <w:t>ФГБОУ ВО «</w:t>
      </w:r>
      <w:r w:rsidRPr="00451731">
        <w:rPr>
          <w:sz w:val="24"/>
          <w:szCs w:val="24"/>
        </w:rPr>
        <w:t>Тверской государственный университет</w:t>
      </w:r>
      <w:r>
        <w:rPr>
          <w:sz w:val="24"/>
          <w:szCs w:val="24"/>
        </w:rPr>
        <w:t>»</w:t>
      </w:r>
    </w:p>
    <w:p w:rsidR="0005720B" w:rsidRPr="00451731" w:rsidRDefault="0005720B" w:rsidP="0005720B">
      <w:pPr>
        <w:pStyle w:val="-5"/>
        <w:rPr>
          <w:sz w:val="24"/>
          <w:szCs w:val="24"/>
        </w:rPr>
      </w:pPr>
      <w:r w:rsidRPr="00451731">
        <w:rPr>
          <w:sz w:val="24"/>
          <w:szCs w:val="24"/>
        </w:rPr>
        <w:t xml:space="preserve">Статья посвящена проблеме </w:t>
      </w:r>
      <w:r>
        <w:rPr>
          <w:sz w:val="24"/>
          <w:szCs w:val="24"/>
        </w:rPr>
        <w:t>проверки дееспособности граждан при совершении нотариальных действий. Дееспособность граждан является важнейшей составляющей правового статуса личности. В статье определены основания для отказа в совершении нотариального действия, рассматриваются особенности проверки дееспособности граждан при совершении нотариальных действий. Выявлена проблема отсутствия механизма проверки дееспособности лица и предложены пути решения.</w:t>
      </w:r>
    </w:p>
    <w:p w:rsidR="0005720B" w:rsidRDefault="0005720B" w:rsidP="0005720B">
      <w:pPr>
        <w:ind w:left="284" w:right="284"/>
        <w:rPr>
          <w:i/>
          <w:sz w:val="24"/>
          <w:szCs w:val="24"/>
        </w:rPr>
      </w:pPr>
      <w:r w:rsidRPr="00451731">
        <w:rPr>
          <w:b/>
          <w:i/>
          <w:sz w:val="24"/>
          <w:szCs w:val="24"/>
        </w:rPr>
        <w:t>Ключевые слова</w:t>
      </w:r>
      <w:r w:rsidRPr="00451731">
        <w:rPr>
          <w:i/>
          <w:sz w:val="24"/>
          <w:szCs w:val="24"/>
        </w:rPr>
        <w:t xml:space="preserve">: </w:t>
      </w:r>
      <w:r>
        <w:rPr>
          <w:i/>
          <w:sz w:val="24"/>
          <w:szCs w:val="24"/>
        </w:rPr>
        <w:t>проверка дееспособности, нотариальные действия, нотариат.</w:t>
      </w:r>
    </w:p>
    <w:p w:rsidR="005A2A1A" w:rsidRDefault="005A2A1A" w:rsidP="0005720B">
      <w:pPr>
        <w:ind w:left="284" w:right="284"/>
        <w:rPr>
          <w:i/>
          <w:sz w:val="24"/>
          <w:szCs w:val="24"/>
        </w:rPr>
      </w:pPr>
    </w:p>
    <w:p w:rsidR="005A2A1A" w:rsidRPr="00EA3C37" w:rsidRDefault="005A2A1A" w:rsidP="005A2A1A">
      <w:pPr>
        <w:jc w:val="center"/>
        <w:rPr>
          <w:b/>
          <w:sz w:val="24"/>
          <w:szCs w:val="24"/>
          <w:lang w:val="en-US"/>
        </w:rPr>
      </w:pPr>
      <w:r w:rsidRPr="00EA3C37">
        <w:rPr>
          <w:b/>
          <w:sz w:val="24"/>
          <w:szCs w:val="24"/>
          <w:lang w:val="en-US"/>
        </w:rPr>
        <w:t>PROBLEMS OF DETERMINING THE CITIZENS 'CITIZENSHIP IN THE PERFORMANCE OF NOTARIAL ACTIONS</w:t>
      </w:r>
    </w:p>
    <w:p w:rsidR="005A2A1A" w:rsidRPr="00EA3C37" w:rsidRDefault="005A2A1A" w:rsidP="005A2A1A">
      <w:pPr>
        <w:pStyle w:val="-4"/>
        <w:rPr>
          <w:b/>
          <w:sz w:val="24"/>
          <w:szCs w:val="24"/>
          <w:lang w:val="en-US"/>
        </w:rPr>
      </w:pPr>
    </w:p>
    <w:p w:rsidR="005A2A1A" w:rsidRPr="0005720B" w:rsidRDefault="005A2A1A" w:rsidP="005A2A1A">
      <w:pPr>
        <w:pStyle w:val="-4"/>
        <w:rPr>
          <w:b/>
          <w:sz w:val="24"/>
          <w:szCs w:val="24"/>
          <w:lang w:val="en-US"/>
        </w:rPr>
      </w:pPr>
      <w:r w:rsidRPr="00EA3C37">
        <w:rPr>
          <w:b/>
          <w:sz w:val="24"/>
          <w:szCs w:val="24"/>
          <w:lang w:val="en-US"/>
        </w:rPr>
        <w:t>S</w:t>
      </w:r>
      <w:r w:rsidRPr="0005720B">
        <w:rPr>
          <w:b/>
          <w:sz w:val="24"/>
          <w:szCs w:val="24"/>
          <w:lang w:val="en-US"/>
        </w:rPr>
        <w:t>.</w:t>
      </w:r>
      <w:r w:rsidRPr="00EA3C37">
        <w:rPr>
          <w:b/>
          <w:sz w:val="24"/>
          <w:szCs w:val="24"/>
          <w:lang w:val="en-US"/>
        </w:rPr>
        <w:t>S</w:t>
      </w:r>
      <w:r w:rsidRPr="0005720B">
        <w:rPr>
          <w:b/>
          <w:sz w:val="24"/>
          <w:szCs w:val="24"/>
          <w:lang w:val="en-US"/>
        </w:rPr>
        <w:t xml:space="preserve">. </w:t>
      </w:r>
      <w:r w:rsidRPr="00EA3C37">
        <w:rPr>
          <w:b/>
          <w:sz w:val="24"/>
          <w:szCs w:val="24"/>
          <w:lang w:val="en-US"/>
        </w:rPr>
        <w:t>Ere</w:t>
      </w:r>
      <w:r>
        <w:rPr>
          <w:b/>
          <w:sz w:val="24"/>
          <w:szCs w:val="24"/>
          <w:lang w:val="en-US"/>
        </w:rPr>
        <w:t>y</w:t>
      </w:r>
      <w:r w:rsidRPr="00EA3C37">
        <w:rPr>
          <w:b/>
          <w:sz w:val="24"/>
          <w:szCs w:val="24"/>
          <w:lang w:val="en-US"/>
        </w:rPr>
        <w:t>menko</w:t>
      </w:r>
    </w:p>
    <w:p w:rsidR="005A2A1A" w:rsidRPr="0005720B" w:rsidRDefault="005A2A1A" w:rsidP="005A2A1A">
      <w:pPr>
        <w:pStyle w:val="-4"/>
        <w:rPr>
          <w:b/>
          <w:sz w:val="24"/>
          <w:szCs w:val="24"/>
          <w:lang w:val="en-US"/>
        </w:rPr>
      </w:pPr>
    </w:p>
    <w:p w:rsidR="005A2A1A" w:rsidRPr="00EA3C37" w:rsidRDefault="005A2A1A" w:rsidP="005A2A1A">
      <w:pPr>
        <w:pStyle w:val="-4"/>
        <w:rPr>
          <w:sz w:val="24"/>
          <w:szCs w:val="24"/>
          <w:lang w:val="en-US"/>
        </w:rPr>
      </w:pPr>
      <w:r w:rsidRPr="00451731">
        <w:rPr>
          <w:sz w:val="24"/>
          <w:szCs w:val="24"/>
          <w:lang w:val="en-US"/>
        </w:rPr>
        <w:t>Tver</w:t>
      </w:r>
      <w:r w:rsidRPr="0005720B">
        <w:rPr>
          <w:sz w:val="24"/>
          <w:szCs w:val="24"/>
          <w:lang w:val="en-US"/>
        </w:rPr>
        <w:t xml:space="preserve"> </w:t>
      </w:r>
      <w:r w:rsidRPr="00451731">
        <w:rPr>
          <w:sz w:val="24"/>
          <w:szCs w:val="24"/>
          <w:lang w:val="en-US"/>
        </w:rPr>
        <w:t>State</w:t>
      </w:r>
      <w:r w:rsidRPr="0005720B">
        <w:rPr>
          <w:sz w:val="24"/>
          <w:szCs w:val="24"/>
          <w:lang w:val="en-US"/>
        </w:rPr>
        <w:t xml:space="preserve"> </w:t>
      </w:r>
      <w:r w:rsidRPr="00451731">
        <w:rPr>
          <w:sz w:val="24"/>
          <w:szCs w:val="24"/>
          <w:lang w:val="en-US"/>
        </w:rPr>
        <w:t>University</w:t>
      </w:r>
    </w:p>
    <w:p w:rsidR="005A2A1A" w:rsidRPr="00EA3C37" w:rsidRDefault="005A2A1A" w:rsidP="005A2A1A">
      <w:pPr>
        <w:pStyle w:val="-4"/>
        <w:rPr>
          <w:sz w:val="24"/>
          <w:szCs w:val="24"/>
          <w:lang w:val="en-US"/>
        </w:rPr>
      </w:pPr>
    </w:p>
    <w:p w:rsidR="005A2A1A" w:rsidRPr="00071EB0" w:rsidRDefault="005A2A1A" w:rsidP="005A2A1A">
      <w:pPr>
        <w:jc w:val="both"/>
        <w:rPr>
          <w:sz w:val="24"/>
          <w:szCs w:val="24"/>
          <w:lang w:val="en-US"/>
        </w:rPr>
      </w:pPr>
      <w:r w:rsidRPr="00071EB0">
        <w:rPr>
          <w:sz w:val="24"/>
          <w:szCs w:val="24"/>
          <w:lang w:val="en-US"/>
        </w:rPr>
        <w:t>The article discusses the features of checking citizens' capacity in the commission of notarial acts.</w:t>
      </w:r>
      <w:r w:rsidRPr="00071EB0">
        <w:rPr>
          <w:lang w:val="en-US"/>
        </w:rPr>
        <w:t xml:space="preserve"> </w:t>
      </w:r>
      <w:r w:rsidRPr="00071EB0">
        <w:rPr>
          <w:sz w:val="24"/>
          <w:szCs w:val="24"/>
          <w:lang w:val="en-US"/>
        </w:rPr>
        <w:t>Legal capacity of citizens is an essential component of legal status of an individual.</w:t>
      </w:r>
      <w:r w:rsidRPr="00071EB0">
        <w:rPr>
          <w:lang w:val="en-US"/>
        </w:rPr>
        <w:t xml:space="preserve"> </w:t>
      </w:r>
      <w:r w:rsidRPr="00071EB0">
        <w:rPr>
          <w:sz w:val="24"/>
          <w:szCs w:val="24"/>
          <w:lang w:val="en-US"/>
        </w:rPr>
        <w:t>The article defines the grounds for refusal to perform a notarial act, examines the specifics of checking the legal capacity of citizens when performing notarial acts. The problem of lack of a mechanism for checking the person's legal capacity was revealed and solutions were suggested.</w:t>
      </w:r>
    </w:p>
    <w:p w:rsidR="005A2A1A" w:rsidRPr="00071EB0" w:rsidRDefault="005A2A1A" w:rsidP="005A2A1A">
      <w:pPr>
        <w:rPr>
          <w:i/>
          <w:sz w:val="24"/>
          <w:szCs w:val="24"/>
          <w:lang w:val="en-US"/>
        </w:rPr>
      </w:pPr>
      <w:r w:rsidRPr="00451731">
        <w:rPr>
          <w:b/>
          <w:i/>
          <w:sz w:val="24"/>
          <w:szCs w:val="24"/>
          <w:lang w:val="en-US"/>
        </w:rPr>
        <w:t>Keywords</w:t>
      </w:r>
      <w:r w:rsidRPr="00071EB0">
        <w:rPr>
          <w:b/>
          <w:i/>
          <w:sz w:val="24"/>
          <w:szCs w:val="24"/>
          <w:lang w:val="en-US"/>
        </w:rPr>
        <w:t>:</w:t>
      </w:r>
      <w:r w:rsidRPr="00071EB0">
        <w:rPr>
          <w:i/>
          <w:sz w:val="24"/>
          <w:szCs w:val="24"/>
          <w:lang w:val="en-US"/>
        </w:rPr>
        <w:t xml:space="preserve"> </w:t>
      </w:r>
      <w:r>
        <w:rPr>
          <w:i/>
          <w:sz w:val="24"/>
          <w:szCs w:val="24"/>
          <w:lang w:val="en-US"/>
        </w:rPr>
        <w:t>v</w:t>
      </w:r>
      <w:r w:rsidRPr="00071EB0">
        <w:rPr>
          <w:i/>
          <w:sz w:val="24"/>
          <w:szCs w:val="24"/>
          <w:lang w:val="en-US"/>
        </w:rPr>
        <w:t>erification of legal capacity, notary actions, notary.</w:t>
      </w:r>
    </w:p>
    <w:p w:rsidR="005A2A1A" w:rsidRPr="00071EB0" w:rsidRDefault="005A2A1A" w:rsidP="005A2A1A">
      <w:pPr>
        <w:rPr>
          <w:sz w:val="24"/>
          <w:szCs w:val="24"/>
          <w:lang w:val="en-US"/>
        </w:rPr>
      </w:pPr>
    </w:p>
    <w:p w:rsidR="005A2A1A" w:rsidRPr="00451731" w:rsidRDefault="005A2A1A" w:rsidP="005A2A1A">
      <w:pPr>
        <w:pStyle w:val="-8"/>
        <w:rPr>
          <w:sz w:val="24"/>
          <w:szCs w:val="24"/>
        </w:rPr>
      </w:pPr>
      <w:r w:rsidRPr="00451731">
        <w:rPr>
          <w:sz w:val="24"/>
          <w:szCs w:val="24"/>
        </w:rPr>
        <w:t>Об авторе:</w:t>
      </w:r>
    </w:p>
    <w:p w:rsidR="005A2A1A" w:rsidRPr="00451731" w:rsidRDefault="005A2A1A" w:rsidP="005A2A1A">
      <w:pPr>
        <w:ind w:firstLine="708"/>
        <w:jc w:val="both"/>
        <w:rPr>
          <w:sz w:val="24"/>
          <w:szCs w:val="24"/>
          <w:lang w:val="en-US"/>
        </w:rPr>
      </w:pPr>
      <w:r>
        <w:rPr>
          <w:sz w:val="24"/>
          <w:szCs w:val="24"/>
        </w:rPr>
        <w:t>ЕРЁМЕНКО Светлана Сергеевна</w:t>
      </w:r>
      <w:r w:rsidRPr="00EA3C37">
        <w:rPr>
          <w:sz w:val="24"/>
          <w:szCs w:val="24"/>
        </w:rPr>
        <w:t xml:space="preserve"> </w:t>
      </w:r>
      <w:r w:rsidRPr="00451731">
        <w:rPr>
          <w:sz w:val="24"/>
          <w:szCs w:val="24"/>
        </w:rPr>
        <w:t>–</w:t>
      </w:r>
      <w:r w:rsidRPr="00EA3C37">
        <w:t xml:space="preserve"> </w:t>
      </w:r>
      <w:r w:rsidRPr="00EA3C37">
        <w:rPr>
          <w:sz w:val="24"/>
          <w:szCs w:val="24"/>
        </w:rPr>
        <w:t>бакалавр, студентка первого курса магистратуры, юридического факультета, направления: Судебная защита прав и законных интересов, Тверского государственного университета (170100, г. Тверь, ул. Желябова</w:t>
      </w:r>
      <w:r w:rsidRPr="00EA3C37">
        <w:rPr>
          <w:sz w:val="24"/>
          <w:szCs w:val="24"/>
          <w:lang w:val="en-US"/>
        </w:rPr>
        <w:t>, 33),</w:t>
      </w:r>
      <w:r>
        <w:rPr>
          <w:sz w:val="24"/>
          <w:szCs w:val="24"/>
          <w:lang w:val="en-US"/>
        </w:rPr>
        <w:t>e-mail: ESS94@yandex.ru</w:t>
      </w:r>
      <w:r w:rsidRPr="00451731">
        <w:rPr>
          <w:sz w:val="24"/>
          <w:szCs w:val="24"/>
          <w:lang w:val="en-US"/>
        </w:rPr>
        <w:t xml:space="preserve">. </w:t>
      </w:r>
    </w:p>
    <w:p w:rsidR="005A2A1A" w:rsidRPr="005A2A1A" w:rsidRDefault="005A2A1A" w:rsidP="005A2A1A">
      <w:pPr>
        <w:pStyle w:val="-a"/>
        <w:ind w:firstLine="454"/>
      </w:pPr>
      <w:r w:rsidRPr="002D7250">
        <w:rPr>
          <w:rStyle w:val="hps"/>
          <w:lang w:val="en-US"/>
        </w:rPr>
        <w:t>EREYMENKO Svetlana Sergeevna, bachelor, first year student of the magistracy, law faculty, directions: Judicial protection of rights and legal interests</w:t>
      </w:r>
      <w:r w:rsidRPr="00451731">
        <w:rPr>
          <w:rStyle w:val="hps"/>
          <w:lang w:val="en-US"/>
        </w:rPr>
        <w:t>, Departmentof Civil Lawof the TverState University (</w:t>
      </w:r>
      <w:r w:rsidRPr="00451731">
        <w:rPr>
          <w:lang w:val="en-US"/>
        </w:rPr>
        <w:t xml:space="preserve">170100, </w:t>
      </w:r>
      <w:r w:rsidRPr="00451731">
        <w:rPr>
          <w:rStyle w:val="hps"/>
          <w:lang w:val="en-US"/>
        </w:rPr>
        <w:t>Tver, ul</w:t>
      </w:r>
      <w:r w:rsidRPr="00451731">
        <w:rPr>
          <w:lang w:val="en-US"/>
        </w:rPr>
        <w:t>. Zhelyabova</w:t>
      </w:r>
      <w:r w:rsidRPr="00451731">
        <w:t>, 33), e-mail:</w:t>
      </w:r>
      <w:r w:rsidRPr="005A2A1A">
        <w:t xml:space="preserve"> </w:t>
      </w:r>
      <w:r w:rsidRPr="00EA3C37">
        <w:rPr>
          <w:color w:val="0070C0"/>
          <w:u w:val="single"/>
          <w:lang w:val="en-US"/>
        </w:rPr>
        <w:t>ESS</w:t>
      </w:r>
      <w:r w:rsidRPr="005A2A1A">
        <w:rPr>
          <w:color w:val="0070C0"/>
          <w:u w:val="single"/>
        </w:rPr>
        <w:t>94@</w:t>
      </w:r>
      <w:r w:rsidRPr="00EA3C37">
        <w:rPr>
          <w:color w:val="0070C0"/>
          <w:u w:val="single"/>
          <w:lang w:val="en-US"/>
        </w:rPr>
        <w:t>yandex</w:t>
      </w:r>
      <w:r w:rsidRPr="005A2A1A">
        <w:rPr>
          <w:color w:val="0070C0"/>
          <w:u w:val="single"/>
        </w:rPr>
        <w:t>.</w:t>
      </w:r>
      <w:r w:rsidRPr="00EA3C37">
        <w:rPr>
          <w:color w:val="0070C0"/>
          <w:u w:val="single"/>
          <w:lang w:val="en-US"/>
        </w:rPr>
        <w:t>ru</w:t>
      </w:r>
      <w:r w:rsidRPr="005A2A1A">
        <w:rPr>
          <w:color w:val="0070C0"/>
          <w:u w:val="single"/>
        </w:rPr>
        <w:t>.</w:t>
      </w:r>
    </w:p>
    <w:p w:rsidR="0005720B" w:rsidRPr="00451731" w:rsidRDefault="0005720B" w:rsidP="0005720B">
      <w:pPr>
        <w:jc w:val="center"/>
        <w:rPr>
          <w:sz w:val="24"/>
          <w:szCs w:val="24"/>
        </w:rPr>
      </w:pPr>
    </w:p>
    <w:p w:rsidR="005A2A1A" w:rsidRPr="005A2A1A" w:rsidRDefault="005A2A1A" w:rsidP="005A2A1A">
      <w:pPr>
        <w:pStyle w:val="a5"/>
      </w:pPr>
      <w:r>
        <w:t>В правовую систему каждого цивилизованного государства входит нотариат, его возникновение связано с необходимостью юридического закрепления  гражданских прав и  предупреждения их нарушения в будущем</w:t>
      </w:r>
      <w:r w:rsidRPr="005A2A1A">
        <w:t>[1].</w:t>
      </w:r>
    </w:p>
    <w:p w:rsidR="005A2A1A" w:rsidRDefault="005A2A1A" w:rsidP="005A2A1A">
      <w:pPr>
        <w:pStyle w:val="a5"/>
      </w:pPr>
      <w:r>
        <w:t xml:space="preserve">В литературе предлагается немало определений нотариата, основанных на обозначении обязанностей и направлений деятельности нотариусов. В </w:t>
      </w:r>
      <w:r>
        <w:lastRenderedPageBreak/>
        <w:t>нормативных правовых актах определение нотариата не дается. Однако, законодательно зафиксирован ряд его признаков:  нотариат призван осуществлять  защиту прав и законных интересов граждан и юридических лиц; эта защита обеспечивается в соответствии с Конституцией Российской Федерации, уставами субъектов РФ и Основами законодательства Российской Федерации о нотариате; нотариальные действия от имени Российской Федерации совершают нотариусы в предусмотренных в законодательных актах формах</w:t>
      </w:r>
      <w:r w:rsidRPr="005A2A1A">
        <w:t>[2]</w:t>
      </w:r>
      <w:r>
        <w:t>.</w:t>
      </w:r>
    </w:p>
    <w:p w:rsidR="005A2A1A" w:rsidRDefault="005A2A1A" w:rsidP="005A2A1A">
      <w:pPr>
        <w:pStyle w:val="a5"/>
      </w:pPr>
      <w:r>
        <w:t>Российский нотариат, как субъект юридической помощи имеет дуалистическую природу, сочетающую публично-правовое и частноправовое начала. Он относится к нотариату латинского типа и представлен свободными (частными) и государственными нотариусами. Систему нотариата следует рассматривать как совокупность нотариусов, их стажеров и помощников, а также объединений нотариусов. Организационное единство этой системы обеспечивается нотариальными палатами субъектов Российской Федерации, Федеральной нотариальной палатой и органами юстиции.</w:t>
      </w:r>
    </w:p>
    <w:p w:rsidR="005A2A1A" w:rsidRDefault="005A2A1A" w:rsidP="005A2A1A">
      <w:pPr>
        <w:pStyle w:val="a5"/>
      </w:pPr>
      <w:r>
        <w:t>Нотариус  выполняет  функцию,  делегированную ему государством. От имени государства, от имени РФ, он обязан совершать нотариальные действия. Совершение нотариальных действий является обязанностью нотариуса, поэтому гражданину предоставлено право обжаловать отказ в совершении нотариального действия, если этот отказ не основан на законе.</w:t>
      </w:r>
    </w:p>
    <w:p w:rsidR="005A2A1A" w:rsidRDefault="005A2A1A" w:rsidP="005A2A1A">
      <w:pPr>
        <w:pStyle w:val="a5"/>
      </w:pPr>
      <w:r>
        <w:t xml:space="preserve">Согласно п. 10 ч. 1 ст. 262 ГПК РФ дела по заявлениям о совершенных нотариальных действий или об отказе в их совершении относятся к числу дел, рассматриваемых в порядке особого производства, что подразумевает отсутствие материально-правового спора между заинтересованными лицами, отсутствие спорящих сторон  и иска. Особое производство направлено в первую очередь на установление юридических фактов, констатацию правомерности или неправомерности действий других органов, имеющих по закону право устанавливать или удостоверять факты, имеющие правовое </w:t>
      </w:r>
      <w:r>
        <w:lastRenderedPageBreak/>
        <w:t>значение, а также определения правового положения гражданина или его имущества</w:t>
      </w:r>
      <w:r w:rsidRPr="005A2A1A">
        <w:t>[3]</w:t>
      </w:r>
      <w:r>
        <w:t>.</w:t>
      </w:r>
    </w:p>
    <w:p w:rsidR="005A2A1A" w:rsidRDefault="005A2A1A" w:rsidP="005A2A1A">
      <w:pPr>
        <w:pStyle w:val="a5"/>
      </w:pPr>
      <w:r>
        <w:t>В соответствии со ст. 16  Основ законодательства РФ о нотариате (далее – Основы)</w:t>
      </w:r>
      <w:r w:rsidRPr="005A2A1A">
        <w:t>[4]</w:t>
      </w:r>
      <w:r>
        <w:t xml:space="preserve"> нотариус обязан отказать в совершении нотариального действия в случае его несоответствия законодательству РФ и международным договорам.</w:t>
      </w:r>
    </w:p>
    <w:p w:rsidR="005A2A1A" w:rsidRDefault="005A2A1A" w:rsidP="005A2A1A">
      <w:pPr>
        <w:pStyle w:val="a5"/>
      </w:pPr>
      <w:r>
        <w:t>Статья 48 Основ содержит перечень оснований для отказа. Нотариус отказывает в совершении нотариального действия, если[</w:t>
      </w:r>
      <w:r w:rsidRPr="005A2A1A">
        <w:t>5]</w:t>
      </w:r>
      <w:r>
        <w:t>:</w:t>
      </w:r>
    </w:p>
    <w:p w:rsidR="005A2A1A" w:rsidRDefault="005A2A1A" w:rsidP="005A2A1A">
      <w:pPr>
        <w:pStyle w:val="a5"/>
        <w:rPr>
          <w:shd w:val="clear" w:color="auto" w:fill="FFFFFF"/>
        </w:rPr>
      </w:pPr>
      <w:r>
        <w:t xml:space="preserve">1. </w:t>
      </w:r>
      <w:r w:rsidRPr="00701D20">
        <w:rPr>
          <w:shd w:val="clear" w:color="auto" w:fill="FFFFFF"/>
        </w:rPr>
        <w:t>совершение такого действия противоречит закону;</w:t>
      </w:r>
    </w:p>
    <w:p w:rsidR="005A2A1A" w:rsidRDefault="005A2A1A" w:rsidP="005A2A1A">
      <w:pPr>
        <w:pStyle w:val="a5"/>
        <w:rPr>
          <w:shd w:val="clear" w:color="auto" w:fill="FFFFFF"/>
        </w:rPr>
      </w:pPr>
      <w:r>
        <w:rPr>
          <w:shd w:val="clear" w:color="auto" w:fill="FFFFFF"/>
        </w:rPr>
        <w:t>2.</w:t>
      </w:r>
      <w:r w:rsidRPr="00701D20">
        <w:rPr>
          <w:rFonts w:ascii="Arial" w:hAnsi="Arial" w:cs="Arial"/>
          <w:shd w:val="clear" w:color="auto" w:fill="FFFFFF"/>
        </w:rPr>
        <w:t xml:space="preserve"> </w:t>
      </w:r>
      <w:r w:rsidRPr="00701D20">
        <w:rPr>
          <w:shd w:val="clear" w:color="auto" w:fill="FFFFFF"/>
        </w:rPr>
        <w:t>действие подлежит совершению другим нотариусом;</w:t>
      </w:r>
    </w:p>
    <w:p w:rsidR="005A2A1A" w:rsidRDefault="005A2A1A" w:rsidP="005A2A1A">
      <w:pPr>
        <w:pStyle w:val="a5"/>
        <w:rPr>
          <w:shd w:val="clear" w:color="auto" w:fill="FFFFFF"/>
        </w:rPr>
      </w:pPr>
      <w:r>
        <w:rPr>
          <w:shd w:val="clear" w:color="auto" w:fill="FFFFFF"/>
        </w:rPr>
        <w:t xml:space="preserve">3. </w:t>
      </w:r>
      <w:r w:rsidRPr="00701D20">
        <w:rPr>
          <w:shd w:val="clear" w:color="auto" w:fill="FFFFFF"/>
        </w:rPr>
        <w:t>с просьбой о совершении нотариального действия обратился недееспособный гражданин либо представитель, не имеющий необходимых полномочий;</w:t>
      </w:r>
    </w:p>
    <w:p w:rsidR="005A2A1A" w:rsidRDefault="005A2A1A" w:rsidP="005A2A1A">
      <w:pPr>
        <w:pStyle w:val="a5"/>
        <w:rPr>
          <w:shd w:val="clear" w:color="auto" w:fill="FFFFFF"/>
        </w:rPr>
      </w:pPr>
      <w:r>
        <w:rPr>
          <w:shd w:val="clear" w:color="auto" w:fill="FFFFFF"/>
        </w:rPr>
        <w:t>4.</w:t>
      </w:r>
      <w:r w:rsidRPr="00701D20">
        <w:rPr>
          <w:shd w:val="clear" w:color="auto" w:fill="FFFFFF"/>
        </w:rPr>
        <w:t xml:space="preserve"> сделка, совершаемая от имени юридического лица, противоречит целям, указанным в его уставе или положении;</w:t>
      </w:r>
    </w:p>
    <w:p w:rsidR="005A2A1A" w:rsidRDefault="005A2A1A" w:rsidP="005A2A1A">
      <w:pPr>
        <w:pStyle w:val="a5"/>
        <w:rPr>
          <w:shd w:val="clear" w:color="auto" w:fill="FFFFFF"/>
        </w:rPr>
      </w:pPr>
      <w:r>
        <w:rPr>
          <w:shd w:val="clear" w:color="auto" w:fill="FFFFFF"/>
        </w:rPr>
        <w:t xml:space="preserve">5. </w:t>
      </w:r>
      <w:r w:rsidRPr="00701D20">
        <w:rPr>
          <w:shd w:val="clear" w:color="auto" w:fill="FFFFFF"/>
        </w:rPr>
        <w:t>сделка не соответствует требованиям закона;</w:t>
      </w:r>
    </w:p>
    <w:p w:rsidR="005A2A1A" w:rsidRDefault="005A2A1A" w:rsidP="005A2A1A">
      <w:pPr>
        <w:pStyle w:val="a5"/>
        <w:rPr>
          <w:shd w:val="clear" w:color="auto" w:fill="FFFFFF"/>
        </w:rPr>
      </w:pPr>
      <w:r>
        <w:rPr>
          <w:shd w:val="clear" w:color="auto" w:fill="FFFFFF"/>
        </w:rPr>
        <w:t>6.</w:t>
      </w:r>
      <w:r w:rsidRPr="00701D20">
        <w:rPr>
          <w:shd w:val="clear" w:color="auto" w:fill="FFFFFF"/>
        </w:rPr>
        <w:t xml:space="preserve"> документы, представленные для совершения нотариального действия, не соответствуют требованиям законодательства;</w:t>
      </w:r>
    </w:p>
    <w:p w:rsidR="005A2A1A" w:rsidRDefault="005A2A1A" w:rsidP="005A2A1A">
      <w:pPr>
        <w:pStyle w:val="a5"/>
        <w:rPr>
          <w:shd w:val="clear" w:color="auto" w:fill="FFFFFF"/>
        </w:rPr>
      </w:pPr>
      <w:r>
        <w:rPr>
          <w:shd w:val="clear" w:color="auto" w:fill="FFFFFF"/>
        </w:rPr>
        <w:t xml:space="preserve">7.  </w:t>
      </w:r>
      <w:r w:rsidRPr="00701D20">
        <w:rPr>
          <w:shd w:val="clear" w:color="auto" w:fill="FFFFFF"/>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5A2A1A" w:rsidRDefault="005A2A1A" w:rsidP="005A2A1A">
      <w:pPr>
        <w:pStyle w:val="a5"/>
        <w:rPr>
          <w:shd w:val="clear" w:color="auto" w:fill="FFFFFF"/>
        </w:rPr>
      </w:pPr>
      <w:r>
        <w:rPr>
          <w:shd w:val="clear" w:color="auto" w:fill="FFFFFF"/>
        </w:rPr>
        <w:t>Подробнее хотелось бы остановиться на особенностях проверки дееспособности граждан при совершении нотариальных действий.</w:t>
      </w:r>
    </w:p>
    <w:p w:rsidR="005A2A1A" w:rsidRPr="00FA6E9E" w:rsidRDefault="005A2A1A" w:rsidP="005A2A1A">
      <w:pPr>
        <w:pStyle w:val="a5"/>
        <w:rPr>
          <w:color w:val="000000" w:themeColor="text1"/>
          <w:shd w:val="clear" w:color="auto" w:fill="FAF5EC"/>
        </w:rPr>
      </w:pPr>
      <w:r w:rsidRPr="00FA6E9E">
        <w:rPr>
          <w:shd w:val="clear" w:color="auto" w:fill="FFFFFF"/>
        </w:rPr>
        <w:t>При обращении за совершением нотариальных действий нотариус должен проверить дееспособность гражданина. То есть убедиться в способности человека адекватно понимать</w:t>
      </w:r>
      <w:r>
        <w:rPr>
          <w:shd w:val="clear" w:color="auto" w:fill="FFFFFF"/>
        </w:rPr>
        <w:t>, то за</w:t>
      </w:r>
      <w:r w:rsidRPr="00FA6E9E">
        <w:rPr>
          <w:shd w:val="clear" w:color="auto" w:fill="FFFFFF"/>
        </w:rPr>
        <w:t>чем он пришел. В любом документе, подготовленным нотариусом в конце мы встретим такие фразы: «Личность устано</w:t>
      </w:r>
      <w:r>
        <w:rPr>
          <w:shd w:val="clear" w:color="auto" w:fill="FFFFFF"/>
        </w:rPr>
        <w:t>влена. Дееспособность проверена</w:t>
      </w:r>
      <w:r w:rsidRPr="00FA6E9E">
        <w:rPr>
          <w:shd w:val="clear" w:color="auto" w:fill="FFFFFF"/>
        </w:rPr>
        <w:t>»</w:t>
      </w:r>
      <w:r>
        <w:rPr>
          <w:shd w:val="clear" w:color="auto" w:fill="FFFFFF"/>
        </w:rPr>
        <w:t>.</w:t>
      </w:r>
    </w:p>
    <w:p w:rsidR="005A2A1A" w:rsidRDefault="005A2A1A" w:rsidP="005A2A1A">
      <w:pPr>
        <w:pStyle w:val="a5"/>
        <w:rPr>
          <w:shd w:val="clear" w:color="auto" w:fill="FFFFFF"/>
        </w:rPr>
      </w:pPr>
      <w:r>
        <w:rPr>
          <w:shd w:val="clear" w:color="auto" w:fill="FFFFFF"/>
        </w:rPr>
        <w:lastRenderedPageBreak/>
        <w:t>Существуют лишь некоторые критерии, в соответствии  с которыми нотариус осуществляет свою деятельность по определению дееспособности лица.</w:t>
      </w:r>
    </w:p>
    <w:p w:rsidR="005A2A1A" w:rsidRDefault="005A2A1A" w:rsidP="005A2A1A">
      <w:pPr>
        <w:pStyle w:val="a5"/>
        <w:rPr>
          <w:shd w:val="clear" w:color="auto" w:fill="FFFFFF"/>
        </w:rPr>
      </w:pPr>
      <w:r>
        <w:rPr>
          <w:shd w:val="clear" w:color="auto" w:fill="FFFFFF"/>
        </w:rPr>
        <w:t>В обязательном  порядке  он устанавливает личность гражданина по его паспорту и проверяет возраст, если есть сомнения в адекватности гражданина, то нотариус задает несколько вопросов общего характера и конкретные вопросы относительно цели визита. Также  нотариус обязан убедиться в том, что гражданин  не  находиться в состоянии алкогольного или наркотического опьянения и его изложения мыслей логичны.</w:t>
      </w:r>
    </w:p>
    <w:p w:rsidR="005A2A1A" w:rsidRDefault="005A2A1A" w:rsidP="005A2A1A">
      <w:pPr>
        <w:pStyle w:val="a5"/>
      </w:pPr>
      <w:r>
        <w:rPr>
          <w:shd w:val="clear" w:color="auto" w:fill="FFFFFF"/>
        </w:rPr>
        <w:t xml:space="preserve">Следует отметить, что этого недостаточно, чтобы определить дееспособность лица и соответственно из этого вытекает проблема отсутствия у нотариусов четкого механизма определения дееспособности лица, следовательно, можно сделать вывод о том, что </w:t>
      </w:r>
      <w:r>
        <w:t>установление нотариусом дееспособности является условным и весьма субъективным.</w:t>
      </w:r>
    </w:p>
    <w:p w:rsidR="005A2A1A" w:rsidRPr="00FA6E9E" w:rsidRDefault="005A2A1A" w:rsidP="005A2A1A">
      <w:pPr>
        <w:pStyle w:val="a5"/>
        <w:rPr>
          <w:shd w:val="clear" w:color="auto" w:fill="FFFFFF"/>
        </w:rPr>
      </w:pPr>
      <w:r>
        <w:t>Примечательным является тот факт, что государство наделяет нотариуса правом инициирования процедуры лишения дееспособности или ее ограничение. Данная инициатива имеет место быть в случае, если у нотариуса возникли сомнения в том, понимает ли сторона значение своих действий, руководит ли ими. Инициирование заключается в обращении к одному из лиц или к одной из организаций, перечень которых установлен в ст. 281 ГК РФ и в компетенцию которых входит постановка вопроса перед судом о признании лица недееспособным или ограниченно дееспособным. В зависимости от решения этого лица или организации нотариус либо удостоверяет сделку, либо приостанавливает совершение нотариального действия по ее удостоверению до рассмотрения дела судом</w:t>
      </w:r>
      <w:r w:rsidRPr="005A2A1A">
        <w:t>[6]</w:t>
      </w:r>
      <w:r>
        <w:t>.</w:t>
      </w:r>
    </w:p>
    <w:p w:rsidR="005A2A1A" w:rsidRDefault="005A2A1A" w:rsidP="005A2A1A">
      <w:pPr>
        <w:pStyle w:val="a5"/>
      </w:pPr>
      <w:r>
        <w:t xml:space="preserve">О.М. Сычевым был проведен анализ судебной практики по делам, связанным с решением вопроса о дееспособности гражданина. В основе анализа были положены дела по искам об обжаловании завещаний или договоров отчуждения недвижимого имущества. Проведенный анализ позволил сделать вывод о том, что в большинстве случаев суд </w:t>
      </w:r>
      <w:r>
        <w:lastRenderedPageBreak/>
        <w:t>руководствуется преимущественно заключением судебно-психиатрической экспертизы, и только в случае, если экспертиза по делу не проводилась, суд к показаниям нотариуса относиться объективно, указывая, что сомнений не доверять составленному нотариусом документу и пояснением нотариуса, который несет профессиональную ответственность за свои  действия, у суда не имеется. Однако и заключение экспертов в соответствии со ст. 67 ГПК РФ не может иметь для суда заранее установленной силы</w:t>
      </w:r>
      <w:r w:rsidRPr="005A2A1A">
        <w:t>[7]</w:t>
      </w:r>
      <w:r>
        <w:t>.</w:t>
      </w:r>
    </w:p>
    <w:p w:rsidR="005A2A1A" w:rsidRDefault="005A2A1A" w:rsidP="005A2A1A">
      <w:pPr>
        <w:pStyle w:val="a5"/>
      </w:pPr>
      <w:r>
        <w:t>Таким образом, на основании вышеизложенного, можно отметить следующее: во-первых, оснований для отказа в совершении нотариального действия очень мало, согласно ст. 48 Основ о нотариате, и этот перечень является закрытым; во-вторых, отследить какое было решение суда по тому или иному постановлению об отказе в совершении нотариального действия довольно-таки сложно, так как граждане не всегда обращаются в суд, хотя и просят постановление об отказе, а если же суд был и решение суда вынесено, то в действующем законодательстве нет норм, обязывающих гражданина или суд выслать копию решения в адрес нотариальной конторы и в-третьих, можно отметить, что механизм проверки дееспособности граждан не конкретизирован.</w:t>
      </w:r>
    </w:p>
    <w:p w:rsidR="005A2A1A" w:rsidRPr="00666846" w:rsidRDefault="005A2A1A" w:rsidP="005A2A1A">
      <w:pPr>
        <w:pStyle w:val="a5"/>
      </w:pPr>
      <w:r w:rsidRPr="00611234">
        <w:t>Исходя</w:t>
      </w:r>
      <w:r>
        <w:t xml:space="preserve"> </w:t>
      </w:r>
      <w:r w:rsidRPr="00611234">
        <w:t xml:space="preserve"> из вышеизложенного,</w:t>
      </w:r>
      <w:r w:rsidRPr="00611234">
        <w:rPr>
          <w:rStyle w:val="apple-converted-space"/>
        </w:rPr>
        <w:t xml:space="preserve">  можно отметить, что проблема проверки </w:t>
      </w:r>
      <w:r>
        <w:rPr>
          <w:rStyle w:val="apple-converted-space"/>
        </w:rPr>
        <w:t xml:space="preserve"> </w:t>
      </w:r>
      <w:r w:rsidRPr="00611234">
        <w:rPr>
          <w:rStyle w:val="apple-converted-space"/>
        </w:rPr>
        <w:t xml:space="preserve">дееспособности </w:t>
      </w:r>
      <w:r>
        <w:rPr>
          <w:rStyle w:val="apple-converted-space"/>
        </w:rPr>
        <w:t xml:space="preserve"> </w:t>
      </w:r>
      <w:r w:rsidRPr="00611234">
        <w:rPr>
          <w:rStyle w:val="apple-converted-space"/>
        </w:rPr>
        <w:t xml:space="preserve">граждан </w:t>
      </w:r>
      <w:r>
        <w:rPr>
          <w:rStyle w:val="apple-converted-space"/>
        </w:rPr>
        <w:t xml:space="preserve"> с</w:t>
      </w:r>
      <w:r w:rsidRPr="00611234">
        <w:rPr>
          <w:rStyle w:val="apple-converted-space"/>
        </w:rPr>
        <w:t xml:space="preserve">тоит </w:t>
      </w:r>
      <w:r>
        <w:rPr>
          <w:rStyle w:val="apple-converted-space"/>
        </w:rPr>
        <w:t xml:space="preserve"> </w:t>
      </w:r>
      <w:r w:rsidRPr="00611234">
        <w:rPr>
          <w:rStyle w:val="apple-converted-space"/>
        </w:rPr>
        <w:t>перед нотариус</w:t>
      </w:r>
      <w:r>
        <w:rPr>
          <w:rStyle w:val="apple-converted-space"/>
        </w:rPr>
        <w:t>ами</w:t>
      </w:r>
      <w:r w:rsidRPr="00611234">
        <w:rPr>
          <w:rStyle w:val="apple-converted-space"/>
        </w:rPr>
        <w:t xml:space="preserve"> давно и строго</w:t>
      </w:r>
      <w:r>
        <w:rPr>
          <w:rStyle w:val="apple-converted-space"/>
        </w:rPr>
        <w:t>,</w:t>
      </w:r>
      <w:r w:rsidRPr="00611234">
        <w:rPr>
          <w:rStyle w:val="apple-converted-space"/>
        </w:rPr>
        <w:t xml:space="preserve"> поэтому</w:t>
      </w:r>
      <w:r w:rsidRPr="00611234">
        <w:t xml:space="preserve"> </w:t>
      </w:r>
      <w:r w:rsidRPr="00666846">
        <w:t>полагаю, что на законодательном уровне необходимо закрепить обязанность соответствующих органов предоставлять информацию о недееспособности гражданина по запросу нотариуса в связи с совершением нотариального действия</w:t>
      </w:r>
      <w:r>
        <w:t xml:space="preserve">, а также необходим </w:t>
      </w:r>
      <w:r w:rsidRPr="00666846">
        <w:t>официальный реестр судебных решений о лишении (ограничении, восстановлении) дееспособности, а также решений об эмансипации, который был бы открыт для строго определенного круга органов и должностных лиц.</w:t>
      </w:r>
    </w:p>
    <w:p w:rsidR="005A2A1A" w:rsidRDefault="005A2A1A" w:rsidP="005A2A1A">
      <w:pPr>
        <w:pStyle w:val="a5"/>
      </w:pPr>
    </w:p>
    <w:p w:rsidR="005A2A1A" w:rsidRDefault="005A2A1A" w:rsidP="005A2A1A">
      <w:pPr>
        <w:pStyle w:val="a5"/>
      </w:pPr>
    </w:p>
    <w:p w:rsidR="005A2A1A" w:rsidRPr="002878C0" w:rsidRDefault="005A2A1A" w:rsidP="005A2A1A">
      <w:pPr>
        <w:pStyle w:val="a5"/>
        <w:ind w:firstLine="0"/>
      </w:pPr>
    </w:p>
    <w:p w:rsidR="005A2A1A" w:rsidRPr="005A2A1A" w:rsidRDefault="005A2A1A" w:rsidP="005A2A1A">
      <w:pPr>
        <w:pStyle w:val="a5"/>
        <w:ind w:firstLine="0"/>
        <w:jc w:val="center"/>
        <w:rPr>
          <w:b/>
          <w:lang w:val="en-US"/>
        </w:rPr>
      </w:pPr>
      <w:r w:rsidRPr="00EA182A">
        <w:rPr>
          <w:b/>
        </w:rPr>
        <w:lastRenderedPageBreak/>
        <w:t>Список используемой литературы:</w:t>
      </w:r>
    </w:p>
    <w:p w:rsidR="005A2A1A" w:rsidRDefault="005A2A1A" w:rsidP="005A2A1A">
      <w:pPr>
        <w:pStyle w:val="a5"/>
        <w:numPr>
          <w:ilvl w:val="0"/>
          <w:numId w:val="2"/>
        </w:numPr>
      </w:pPr>
      <w:r>
        <w:t>Гражданский процессуальный кодекс РФ от 14.11.2002 № 138-ФЗ (ред. От 06.04.2015)</w:t>
      </w:r>
      <w:r w:rsidR="002878C0" w:rsidRPr="002878C0">
        <w:t xml:space="preserve"> </w:t>
      </w:r>
      <w:r w:rsidR="002878C0">
        <w:t>С. 4532.</w:t>
      </w:r>
      <w:r>
        <w:t>;</w:t>
      </w:r>
    </w:p>
    <w:p w:rsidR="005A2A1A" w:rsidRDefault="005A2A1A" w:rsidP="005A2A1A">
      <w:pPr>
        <w:pStyle w:val="a5"/>
        <w:numPr>
          <w:ilvl w:val="0"/>
          <w:numId w:val="2"/>
        </w:numPr>
      </w:pPr>
      <w:r>
        <w:t>Основы законодательства РФ о нотариате (утв. ВС РФ 11.02.1993 № 4462-1) (ред. От 30.03.2015)</w:t>
      </w:r>
      <w:r w:rsidR="002878C0" w:rsidRPr="002878C0">
        <w:t xml:space="preserve"> </w:t>
      </w:r>
      <w:r w:rsidR="002878C0">
        <w:t>Ст.357</w:t>
      </w:r>
      <w:r>
        <w:t>;</w:t>
      </w:r>
    </w:p>
    <w:p w:rsidR="005A2A1A" w:rsidRPr="005A2A1A" w:rsidRDefault="005A2A1A" w:rsidP="005A2A1A">
      <w:pPr>
        <w:pStyle w:val="a5"/>
        <w:numPr>
          <w:ilvl w:val="0"/>
          <w:numId w:val="2"/>
        </w:numPr>
      </w:pPr>
      <w:r>
        <w:t>Гражданский кодекс РФ (часть первая) от 30.11.1994 № 51-ФЗ (ред. От 31.07.2015) (с изм. и доп., вступ. в силу с 01.09.2015);</w:t>
      </w:r>
    </w:p>
    <w:p w:rsidR="005A2A1A" w:rsidRDefault="005A2A1A" w:rsidP="005A2A1A">
      <w:pPr>
        <w:pStyle w:val="a5"/>
        <w:tabs>
          <w:tab w:val="left" w:pos="285"/>
        </w:tabs>
        <w:ind w:firstLine="0"/>
      </w:pPr>
      <w:r w:rsidRPr="005A2A1A">
        <w:t xml:space="preserve">     4. </w:t>
      </w:r>
      <w:r>
        <w:t>Нотариат и суд в России: 150 лет вместе/ Под ред. Е.А. Борисовой. 2-е доп. Изд. М.: Издательский Дом «Городец», 2017</w:t>
      </w:r>
      <w:r w:rsidR="002878C0" w:rsidRPr="002878C0">
        <w:t xml:space="preserve"> </w:t>
      </w:r>
      <w:r w:rsidR="002878C0">
        <w:t>С. 109.</w:t>
      </w:r>
      <w:r>
        <w:t>;</w:t>
      </w:r>
    </w:p>
    <w:p w:rsidR="005A2A1A" w:rsidRDefault="005A2A1A" w:rsidP="005A2A1A">
      <w:pPr>
        <w:pStyle w:val="a5"/>
        <w:tabs>
          <w:tab w:val="left" w:pos="285"/>
        </w:tabs>
        <w:ind w:firstLine="0"/>
      </w:pPr>
      <w:r w:rsidRPr="005A2A1A">
        <w:t xml:space="preserve">     5. </w:t>
      </w:r>
      <w:r>
        <w:t>Власов Ю. Н., Калинин В. В. Нотариат: курс лекций. – М., 2001</w:t>
      </w:r>
      <w:r w:rsidR="002878C0" w:rsidRPr="002878C0">
        <w:t xml:space="preserve"> </w:t>
      </w:r>
      <w:r w:rsidR="002878C0">
        <w:t>с. 11.;</w:t>
      </w:r>
      <w:r>
        <w:t>;</w:t>
      </w:r>
    </w:p>
    <w:p w:rsidR="005A2A1A" w:rsidRDefault="005A2A1A" w:rsidP="005A2A1A">
      <w:pPr>
        <w:pStyle w:val="a5"/>
        <w:numPr>
          <w:ilvl w:val="0"/>
          <w:numId w:val="3"/>
        </w:numPr>
        <w:tabs>
          <w:tab w:val="left" w:pos="285"/>
        </w:tabs>
      </w:pPr>
      <w:r>
        <w:t>Волостнова Д. С., Волостнов С. М. Экономические основы оценки нотариальной деятельности как особого вида государственных услуг // Современные наукоемкие технологии. Региональное приложение. – 2012. – № 4</w:t>
      </w:r>
      <w:r w:rsidR="002878C0">
        <w:t>, С.19-20</w:t>
      </w:r>
      <w:r>
        <w:t>;</w:t>
      </w:r>
    </w:p>
    <w:p w:rsidR="005A2A1A" w:rsidRDefault="005A2A1A" w:rsidP="005A2A1A">
      <w:pPr>
        <w:pStyle w:val="a5"/>
        <w:numPr>
          <w:ilvl w:val="0"/>
          <w:numId w:val="3"/>
        </w:numPr>
        <w:tabs>
          <w:tab w:val="left" w:pos="285"/>
        </w:tabs>
      </w:pPr>
      <w:r>
        <w:t>Зульфугарзаде Т. Э. Нотариат: практическое пособие. – М., 1999;</w:t>
      </w:r>
    </w:p>
    <w:p w:rsidR="005A2A1A" w:rsidRDefault="005A2A1A" w:rsidP="005A2A1A">
      <w:pPr>
        <w:pStyle w:val="a5"/>
        <w:numPr>
          <w:ilvl w:val="0"/>
          <w:numId w:val="3"/>
        </w:numPr>
        <w:tabs>
          <w:tab w:val="left" w:pos="285"/>
        </w:tabs>
      </w:pPr>
      <w:r>
        <w:t>Сычев О.М. Актуальные вопросы проверки нотариусами дееспособности граждан</w:t>
      </w:r>
      <w:r w:rsidRPr="00755C49">
        <w:t xml:space="preserve"> //</w:t>
      </w:r>
      <w:r>
        <w:t xml:space="preserve"> Нотариальный вестник. 2008. № 9</w:t>
      </w:r>
      <w:r w:rsidR="002878C0">
        <w:t>,</w:t>
      </w:r>
      <w:r w:rsidR="002878C0" w:rsidRPr="002878C0">
        <w:t xml:space="preserve"> </w:t>
      </w:r>
      <w:r w:rsidR="002878C0">
        <w:t>С. 23.</w:t>
      </w:r>
    </w:p>
    <w:p w:rsidR="005A2A1A" w:rsidRDefault="005A2A1A" w:rsidP="0005720B">
      <w:pPr>
        <w:pStyle w:val="-7"/>
        <w:rPr>
          <w:szCs w:val="24"/>
        </w:rPr>
      </w:pPr>
    </w:p>
    <w:p w:rsidR="0005720B" w:rsidRPr="0005720B" w:rsidRDefault="0005720B" w:rsidP="0005720B">
      <w:pPr>
        <w:pStyle w:val="a3"/>
        <w:jc w:val="both"/>
        <w:rPr>
          <w:sz w:val="24"/>
          <w:szCs w:val="24"/>
          <w:lang w:val="en-US"/>
        </w:rPr>
      </w:pPr>
    </w:p>
    <w:p w:rsidR="0005720B" w:rsidRPr="0005720B" w:rsidRDefault="0005720B" w:rsidP="0005720B">
      <w:pPr>
        <w:pStyle w:val="a3"/>
        <w:jc w:val="both"/>
        <w:rPr>
          <w:sz w:val="24"/>
          <w:szCs w:val="24"/>
          <w:lang w:val="en-US"/>
        </w:rPr>
      </w:pPr>
    </w:p>
    <w:p w:rsidR="0005720B" w:rsidRPr="00451731" w:rsidRDefault="0005720B" w:rsidP="005A2A1A">
      <w:pPr>
        <w:jc w:val="center"/>
      </w:pPr>
      <w:r w:rsidRPr="00EA3C37">
        <w:rPr>
          <w:lang w:val="en-US"/>
        </w:rPr>
        <w:t xml:space="preserve"> </w:t>
      </w:r>
    </w:p>
    <w:p w:rsidR="00E701A5" w:rsidRDefault="00E701A5"/>
    <w:sectPr w:rsidR="00E701A5" w:rsidSect="00E701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501" w:rsidRDefault="00D60501" w:rsidP="005A2A1A">
      <w:r>
        <w:separator/>
      </w:r>
    </w:p>
  </w:endnote>
  <w:endnote w:type="continuationSeparator" w:id="1">
    <w:p w:rsidR="00D60501" w:rsidRDefault="00D60501" w:rsidP="005A2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501" w:rsidRDefault="00D60501" w:rsidP="005A2A1A">
      <w:r>
        <w:separator/>
      </w:r>
    </w:p>
  </w:footnote>
  <w:footnote w:type="continuationSeparator" w:id="1">
    <w:p w:rsidR="00D60501" w:rsidRDefault="00D60501" w:rsidP="005A2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3CC6"/>
    <w:multiLevelType w:val="hybridMultilevel"/>
    <w:tmpl w:val="F43E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917173"/>
    <w:multiLevelType w:val="hybridMultilevel"/>
    <w:tmpl w:val="50E4C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DF2FBD"/>
    <w:multiLevelType w:val="hybridMultilevel"/>
    <w:tmpl w:val="3A1C92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05720B"/>
    <w:rsid w:val="00030D7E"/>
    <w:rsid w:val="00047D19"/>
    <w:rsid w:val="000520C6"/>
    <w:rsid w:val="0005720B"/>
    <w:rsid w:val="000E2341"/>
    <w:rsid w:val="00103B1E"/>
    <w:rsid w:val="00133F8B"/>
    <w:rsid w:val="001A0CDF"/>
    <w:rsid w:val="001C4E16"/>
    <w:rsid w:val="002015F5"/>
    <w:rsid w:val="002332F8"/>
    <w:rsid w:val="00243310"/>
    <w:rsid w:val="0028081E"/>
    <w:rsid w:val="002878C0"/>
    <w:rsid w:val="002D4D84"/>
    <w:rsid w:val="002E705D"/>
    <w:rsid w:val="00332019"/>
    <w:rsid w:val="003605AC"/>
    <w:rsid w:val="00384101"/>
    <w:rsid w:val="0038557E"/>
    <w:rsid w:val="003A7830"/>
    <w:rsid w:val="003D4232"/>
    <w:rsid w:val="004162CE"/>
    <w:rsid w:val="004405C7"/>
    <w:rsid w:val="00463C09"/>
    <w:rsid w:val="0049488F"/>
    <w:rsid w:val="004C7045"/>
    <w:rsid w:val="004E3D26"/>
    <w:rsid w:val="0054539F"/>
    <w:rsid w:val="00554A1A"/>
    <w:rsid w:val="005A0B7E"/>
    <w:rsid w:val="005A2A1A"/>
    <w:rsid w:val="005B5A91"/>
    <w:rsid w:val="005C3080"/>
    <w:rsid w:val="005F03D4"/>
    <w:rsid w:val="005F0A8C"/>
    <w:rsid w:val="00643467"/>
    <w:rsid w:val="00674AB1"/>
    <w:rsid w:val="00711BA0"/>
    <w:rsid w:val="00723122"/>
    <w:rsid w:val="0072423C"/>
    <w:rsid w:val="007B295D"/>
    <w:rsid w:val="007C18C1"/>
    <w:rsid w:val="007C1B84"/>
    <w:rsid w:val="007C4010"/>
    <w:rsid w:val="00802CB7"/>
    <w:rsid w:val="00806255"/>
    <w:rsid w:val="008245ED"/>
    <w:rsid w:val="00825EB3"/>
    <w:rsid w:val="00845C31"/>
    <w:rsid w:val="008C121F"/>
    <w:rsid w:val="00962FA5"/>
    <w:rsid w:val="00973DCC"/>
    <w:rsid w:val="00A30CC3"/>
    <w:rsid w:val="00A51955"/>
    <w:rsid w:val="00A75330"/>
    <w:rsid w:val="00A808E2"/>
    <w:rsid w:val="00AC2C85"/>
    <w:rsid w:val="00AD382F"/>
    <w:rsid w:val="00AF079B"/>
    <w:rsid w:val="00AF2AB7"/>
    <w:rsid w:val="00B47C01"/>
    <w:rsid w:val="00B61722"/>
    <w:rsid w:val="00B82F52"/>
    <w:rsid w:val="00BA735A"/>
    <w:rsid w:val="00BE4264"/>
    <w:rsid w:val="00C0020D"/>
    <w:rsid w:val="00C0235E"/>
    <w:rsid w:val="00C04F9D"/>
    <w:rsid w:val="00C0619C"/>
    <w:rsid w:val="00C070AC"/>
    <w:rsid w:val="00C328B6"/>
    <w:rsid w:val="00C44F7C"/>
    <w:rsid w:val="00C87702"/>
    <w:rsid w:val="00CA785D"/>
    <w:rsid w:val="00D60501"/>
    <w:rsid w:val="00D65A37"/>
    <w:rsid w:val="00DA6E62"/>
    <w:rsid w:val="00DD0F86"/>
    <w:rsid w:val="00DF4631"/>
    <w:rsid w:val="00DF7286"/>
    <w:rsid w:val="00E00332"/>
    <w:rsid w:val="00E003D2"/>
    <w:rsid w:val="00E26B8A"/>
    <w:rsid w:val="00E701A5"/>
    <w:rsid w:val="00E85DC8"/>
    <w:rsid w:val="00E95F7E"/>
    <w:rsid w:val="00EB4378"/>
    <w:rsid w:val="00ED7069"/>
    <w:rsid w:val="00EE397C"/>
    <w:rsid w:val="00F029A4"/>
    <w:rsid w:val="00F05675"/>
    <w:rsid w:val="00F528F2"/>
    <w:rsid w:val="00F56496"/>
    <w:rsid w:val="00FB7985"/>
    <w:rsid w:val="00FC675F"/>
    <w:rsid w:val="00FD0163"/>
    <w:rsid w:val="00FF6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20B"/>
    <w:pPr>
      <w:widowControl w:val="0"/>
      <w:autoSpaceDE w:val="0"/>
      <w:autoSpaceDN w:val="0"/>
      <w:adjustRightInd w:val="0"/>
      <w:spacing w:after="0" w:line="240" w:lineRule="auto"/>
    </w:pPr>
    <w:rPr>
      <w:rFonts w:ascii="Times New Roman" w:eastAsia="Calibri" w:hAnsi="Times New Roman"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05720B"/>
  </w:style>
  <w:style w:type="paragraph" w:styleId="a3">
    <w:name w:val="footnote text"/>
    <w:aliases w:val="Знак,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FN,Oaeno niinee-FN,Oaeno niinee Ciae"/>
    <w:basedOn w:val="a"/>
    <w:link w:val="a4"/>
    <w:uiPriority w:val="99"/>
    <w:rsid w:val="0005720B"/>
    <w:pPr>
      <w:widowControl/>
      <w:autoSpaceDE/>
      <w:autoSpaceDN/>
      <w:adjustRightInd/>
    </w:pPr>
    <w:rPr>
      <w:rFonts w:eastAsia="Times New Roman" w:cs="Times New Roman"/>
    </w:rPr>
  </w:style>
  <w:style w:type="character" w:customStyle="1" w:styleId="a4">
    <w:name w:val="Текст сноски Знак"/>
    <w:aliases w:val="Знак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05720B"/>
    <w:rPr>
      <w:rFonts w:ascii="Times New Roman" w:eastAsia="Times New Roman" w:hAnsi="Times New Roman" w:cs="Times New Roman"/>
      <w:sz w:val="20"/>
      <w:szCs w:val="20"/>
      <w:lang w:eastAsia="ru-RU"/>
    </w:rPr>
  </w:style>
  <w:style w:type="paragraph" w:customStyle="1" w:styleId="-">
    <w:name w:val="Вестник - УДК"/>
    <w:basedOn w:val="a"/>
    <w:link w:val="-0"/>
    <w:rsid w:val="0005720B"/>
    <w:pPr>
      <w:widowControl/>
      <w:autoSpaceDE/>
      <w:autoSpaceDN/>
      <w:adjustRightInd/>
      <w:spacing w:before="360" w:after="120"/>
      <w:jc w:val="both"/>
    </w:pPr>
    <w:rPr>
      <w:rFonts w:eastAsia="Times New Roman" w:cs="Times New Roman"/>
    </w:rPr>
  </w:style>
  <w:style w:type="paragraph" w:customStyle="1" w:styleId="-1">
    <w:name w:val="Вестник - Название статьи"/>
    <w:basedOn w:val="a"/>
    <w:link w:val="-2"/>
    <w:rsid w:val="0005720B"/>
    <w:pPr>
      <w:widowControl/>
      <w:autoSpaceDE/>
      <w:autoSpaceDN/>
      <w:adjustRightInd/>
      <w:jc w:val="center"/>
    </w:pPr>
    <w:rPr>
      <w:rFonts w:eastAsia="Times New Roman" w:cs="Times New Roman"/>
      <w:b/>
      <w:bCs/>
      <w:caps/>
      <w:kern w:val="32"/>
      <w:sz w:val="24"/>
    </w:rPr>
  </w:style>
  <w:style w:type="paragraph" w:customStyle="1" w:styleId="-3">
    <w:name w:val="Вестник - Список авторов"/>
    <w:basedOn w:val="a"/>
    <w:rsid w:val="0005720B"/>
    <w:pPr>
      <w:widowControl/>
      <w:overflowPunct w:val="0"/>
      <w:spacing w:before="120" w:after="120"/>
      <w:jc w:val="center"/>
      <w:textAlignment w:val="baseline"/>
    </w:pPr>
    <w:rPr>
      <w:rFonts w:eastAsia="Times New Roman" w:cs="Times New Roman"/>
      <w:b/>
      <w:bCs/>
      <w:sz w:val="24"/>
    </w:rPr>
  </w:style>
  <w:style w:type="paragraph" w:customStyle="1" w:styleId="-4">
    <w:name w:val="Вестник - Организация"/>
    <w:basedOn w:val="a"/>
    <w:rsid w:val="0005720B"/>
    <w:pPr>
      <w:widowControl/>
      <w:autoSpaceDE/>
      <w:autoSpaceDN/>
      <w:adjustRightInd/>
      <w:jc w:val="center"/>
    </w:pPr>
    <w:rPr>
      <w:rFonts w:eastAsia="Times New Roman" w:cs="Times New Roman"/>
      <w:sz w:val="22"/>
    </w:rPr>
  </w:style>
  <w:style w:type="paragraph" w:customStyle="1" w:styleId="-5">
    <w:name w:val="Вестник - Аннотация"/>
    <w:basedOn w:val="a"/>
    <w:link w:val="-6"/>
    <w:rsid w:val="0005720B"/>
    <w:pPr>
      <w:widowControl/>
      <w:autoSpaceDE/>
      <w:autoSpaceDN/>
      <w:adjustRightInd/>
      <w:spacing w:before="240"/>
      <w:ind w:left="284" w:right="284"/>
      <w:jc w:val="both"/>
    </w:pPr>
    <w:rPr>
      <w:rFonts w:eastAsia="Times New Roman" w:cs="Times New Roman"/>
      <w:sz w:val="22"/>
    </w:rPr>
  </w:style>
  <w:style w:type="character" w:customStyle="1" w:styleId="-2">
    <w:name w:val="Вестник - Название статьи Знак Знак"/>
    <w:link w:val="-1"/>
    <w:rsid w:val="0005720B"/>
    <w:rPr>
      <w:rFonts w:ascii="Times New Roman" w:eastAsia="Times New Roman" w:hAnsi="Times New Roman" w:cs="Times New Roman"/>
      <w:b/>
      <w:bCs/>
      <w:caps/>
      <w:kern w:val="32"/>
      <w:sz w:val="24"/>
      <w:szCs w:val="20"/>
      <w:lang w:eastAsia="ru-RU"/>
    </w:rPr>
  </w:style>
  <w:style w:type="character" w:customStyle="1" w:styleId="-6">
    <w:name w:val="Вестник - Аннотация Знак"/>
    <w:link w:val="-5"/>
    <w:rsid w:val="0005720B"/>
    <w:rPr>
      <w:rFonts w:ascii="Times New Roman" w:eastAsia="Times New Roman" w:hAnsi="Times New Roman" w:cs="Times New Roman"/>
      <w:szCs w:val="20"/>
      <w:lang w:eastAsia="ru-RU"/>
    </w:rPr>
  </w:style>
  <w:style w:type="character" w:customStyle="1" w:styleId="-0">
    <w:name w:val="Вестник - УДК Знак"/>
    <w:link w:val="-"/>
    <w:rsid w:val="0005720B"/>
    <w:rPr>
      <w:rFonts w:ascii="Times New Roman" w:eastAsia="Times New Roman" w:hAnsi="Times New Roman" w:cs="Times New Roman"/>
      <w:sz w:val="20"/>
      <w:szCs w:val="20"/>
      <w:lang w:eastAsia="ru-RU"/>
    </w:rPr>
  </w:style>
  <w:style w:type="paragraph" w:customStyle="1" w:styleId="-7">
    <w:name w:val="Вестник - &quot;Список литературы:&quot;"/>
    <w:basedOn w:val="a"/>
    <w:rsid w:val="0005720B"/>
    <w:pPr>
      <w:widowControl/>
      <w:autoSpaceDE/>
      <w:autoSpaceDN/>
      <w:adjustRightInd/>
      <w:spacing w:before="240" w:after="120"/>
      <w:ind w:firstLine="284"/>
      <w:jc w:val="both"/>
    </w:pPr>
    <w:rPr>
      <w:rFonts w:eastAsia="Times New Roman" w:cs="Times New Roman"/>
      <w:b/>
      <w:sz w:val="24"/>
      <w:szCs w:val="22"/>
    </w:rPr>
  </w:style>
  <w:style w:type="paragraph" w:customStyle="1" w:styleId="-8">
    <w:name w:val="Вестник - &quot;Об авторах&quot;"/>
    <w:basedOn w:val="a"/>
    <w:link w:val="-9"/>
    <w:rsid w:val="0005720B"/>
    <w:pPr>
      <w:autoSpaceDE/>
      <w:autoSpaceDN/>
      <w:adjustRightInd/>
      <w:spacing w:after="120"/>
      <w:ind w:firstLine="720"/>
      <w:jc w:val="both"/>
    </w:pPr>
    <w:rPr>
      <w:rFonts w:eastAsia="Times New Roman" w:cs="Times New Roman"/>
      <w:i/>
      <w:sz w:val="22"/>
      <w:szCs w:val="22"/>
    </w:rPr>
  </w:style>
  <w:style w:type="character" w:customStyle="1" w:styleId="-9">
    <w:name w:val="Вестник - &quot;Об авторах&quot; Знак"/>
    <w:link w:val="-8"/>
    <w:rsid w:val="0005720B"/>
    <w:rPr>
      <w:rFonts w:ascii="Times New Roman" w:eastAsia="Times New Roman" w:hAnsi="Times New Roman" w:cs="Times New Roman"/>
      <w:i/>
      <w:lang w:eastAsia="ru-RU"/>
    </w:rPr>
  </w:style>
  <w:style w:type="paragraph" w:customStyle="1" w:styleId="-a">
    <w:name w:val="Вестник - Об авторах"/>
    <w:basedOn w:val="a"/>
    <w:link w:val="-b"/>
    <w:rsid w:val="0005720B"/>
    <w:pPr>
      <w:autoSpaceDE/>
      <w:autoSpaceDN/>
      <w:adjustRightInd/>
      <w:spacing w:before="120"/>
      <w:ind w:firstLine="720"/>
      <w:jc w:val="both"/>
    </w:pPr>
    <w:rPr>
      <w:rFonts w:eastAsia="Times New Roman" w:cs="Times New Roman"/>
      <w:sz w:val="24"/>
      <w:szCs w:val="24"/>
    </w:rPr>
  </w:style>
  <w:style w:type="character" w:customStyle="1" w:styleId="-b">
    <w:name w:val="Вестник - Об авторах Знак"/>
    <w:basedOn w:val="a0"/>
    <w:link w:val="-a"/>
    <w:locked/>
    <w:rsid w:val="0005720B"/>
    <w:rPr>
      <w:rFonts w:ascii="Times New Roman" w:eastAsia="Times New Roman" w:hAnsi="Times New Roman" w:cs="Times New Roman"/>
      <w:sz w:val="24"/>
      <w:szCs w:val="24"/>
      <w:lang w:eastAsia="ru-RU"/>
    </w:rPr>
  </w:style>
  <w:style w:type="paragraph" w:customStyle="1" w:styleId="a5">
    <w:name w:val="курс"/>
    <w:basedOn w:val="a"/>
    <w:qFormat/>
    <w:rsid w:val="005A2A1A"/>
    <w:pPr>
      <w:widowControl/>
      <w:autoSpaceDE/>
      <w:autoSpaceDN/>
      <w:adjustRightInd/>
      <w:spacing w:line="360" w:lineRule="auto"/>
      <w:ind w:firstLine="709"/>
      <w:jc w:val="both"/>
    </w:pPr>
    <w:rPr>
      <w:rFonts w:eastAsia="Times New Roman" w:cs="Times New Roman"/>
      <w:color w:val="000000"/>
      <w:sz w:val="28"/>
      <w:szCs w:val="28"/>
    </w:rPr>
  </w:style>
  <w:style w:type="character" w:styleId="a6">
    <w:name w:val="footnote reference"/>
    <w:uiPriority w:val="99"/>
    <w:semiHidden/>
    <w:unhideWhenUsed/>
    <w:rsid w:val="005A2A1A"/>
    <w:rPr>
      <w:rFonts w:cs="Times New Roman"/>
      <w:vertAlign w:val="superscript"/>
    </w:rPr>
  </w:style>
  <w:style w:type="character" w:customStyle="1" w:styleId="apple-converted-space">
    <w:name w:val="apple-converted-space"/>
    <w:basedOn w:val="a0"/>
    <w:rsid w:val="005A2A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1558</Words>
  <Characters>8886</Characters>
  <Application>Microsoft Office Word</Application>
  <DocSecurity>0</DocSecurity>
  <Lines>74</Lines>
  <Paragraphs>20</Paragraphs>
  <ScaleCrop>false</ScaleCrop>
  <Company>Microsoft</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2017-03-31T16:08:00Z</dcterms:created>
  <dcterms:modified xsi:type="dcterms:W3CDTF">2017-03-31T16:11:00Z</dcterms:modified>
</cp:coreProperties>
</file>