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948" w:rsidRDefault="00C43BA2" w:rsidP="002B0759">
      <w:pPr>
        <w:spacing w:before="100" w:after="100" w:line="240" w:lineRule="auto"/>
        <w:rPr>
          <w:rFonts w:ascii="Times New Roman" w:hAnsi="Times New Roman" w:cs="Times New Roman"/>
          <w:b/>
          <w:sz w:val="28"/>
          <w:szCs w:val="28"/>
        </w:rPr>
      </w:pPr>
      <w:r w:rsidRPr="005F709D">
        <w:rPr>
          <w:rFonts w:ascii="Times New Roman" w:hAnsi="Times New Roman" w:cs="Times New Roman"/>
          <w:b/>
          <w:sz w:val="28"/>
          <w:szCs w:val="28"/>
        </w:rPr>
        <w:t>Слайд 1.</w:t>
      </w:r>
      <w:r w:rsidR="00BC7243">
        <w:rPr>
          <w:rFonts w:ascii="Times New Roman" w:hAnsi="Times New Roman" w:cs="Times New Roman"/>
          <w:b/>
          <w:sz w:val="28"/>
          <w:szCs w:val="28"/>
        </w:rPr>
        <w:t xml:space="preserve"> Титульный</w:t>
      </w:r>
    </w:p>
    <w:p w:rsidR="00BC7243" w:rsidRPr="00BC7243" w:rsidRDefault="00BC7243" w:rsidP="002B0759">
      <w:pPr>
        <w:spacing w:before="100" w:after="100" w:line="240" w:lineRule="auto"/>
        <w:rPr>
          <w:rFonts w:ascii="Times New Roman" w:hAnsi="Times New Roman" w:cs="Times New Roman"/>
          <w:sz w:val="28"/>
          <w:szCs w:val="28"/>
        </w:rPr>
      </w:pPr>
      <w:r>
        <w:rPr>
          <w:rFonts w:ascii="Times New Roman" w:hAnsi="Times New Roman" w:cs="Times New Roman"/>
          <w:sz w:val="28"/>
          <w:szCs w:val="28"/>
        </w:rPr>
        <w:t>–––––––––––––––––––</w:t>
      </w:r>
    </w:p>
    <w:p w:rsidR="00BC7243" w:rsidRPr="005F709D" w:rsidRDefault="00BC7243" w:rsidP="002B0759">
      <w:pPr>
        <w:spacing w:before="100" w:after="100" w:line="240" w:lineRule="auto"/>
        <w:rPr>
          <w:rFonts w:ascii="Times New Roman" w:hAnsi="Times New Roman" w:cs="Times New Roman"/>
          <w:b/>
          <w:sz w:val="28"/>
          <w:szCs w:val="28"/>
        </w:rPr>
      </w:pPr>
      <w:r>
        <w:rPr>
          <w:rFonts w:ascii="Times New Roman" w:hAnsi="Times New Roman" w:cs="Times New Roman"/>
          <w:b/>
          <w:sz w:val="28"/>
          <w:szCs w:val="28"/>
        </w:rPr>
        <w:t>Слайд 2</w:t>
      </w:r>
    </w:p>
    <w:p w:rsidR="00C43BA2" w:rsidRPr="005F709D" w:rsidRDefault="00C43BA2" w:rsidP="002B0759">
      <w:pPr>
        <w:spacing w:before="100" w:after="100" w:line="240" w:lineRule="auto"/>
        <w:rPr>
          <w:rFonts w:ascii="Times New Roman" w:hAnsi="Times New Roman" w:cs="Times New Roman"/>
          <w:sz w:val="28"/>
          <w:szCs w:val="28"/>
        </w:rPr>
      </w:pPr>
      <w:r w:rsidRPr="005F709D">
        <w:rPr>
          <w:rFonts w:ascii="Times New Roman" w:hAnsi="Times New Roman" w:cs="Times New Roman"/>
          <w:sz w:val="28"/>
          <w:szCs w:val="28"/>
        </w:rPr>
        <w:t>ГЧП – это совокупность</w:t>
      </w:r>
      <w:r w:rsidRPr="005F709D">
        <w:rPr>
          <w:rFonts w:ascii="Times New Roman" w:hAnsi="Times New Roman" w:cs="Times New Roman"/>
          <w:sz w:val="28"/>
          <w:szCs w:val="28"/>
        </w:rPr>
        <w:t xml:space="preserve"> форм средне- и долгосрочного взаимодействия государства и бизнеса для решения общественно значимых задач на взаимовыгодных условиях.</w:t>
      </w:r>
    </w:p>
    <w:p w:rsidR="00C43BA2" w:rsidRPr="005F709D" w:rsidRDefault="00BC7243" w:rsidP="002B0759">
      <w:pPr>
        <w:spacing w:before="100" w:after="100" w:line="240" w:lineRule="auto"/>
        <w:rPr>
          <w:rFonts w:ascii="Times New Roman" w:hAnsi="Times New Roman" w:cs="Times New Roman"/>
          <w:b/>
          <w:sz w:val="28"/>
          <w:szCs w:val="28"/>
        </w:rPr>
      </w:pPr>
      <w:r>
        <w:rPr>
          <w:rFonts w:ascii="Times New Roman" w:hAnsi="Times New Roman" w:cs="Times New Roman"/>
          <w:b/>
          <w:sz w:val="28"/>
          <w:szCs w:val="28"/>
        </w:rPr>
        <w:t>Слайд 3</w:t>
      </w:r>
    </w:p>
    <w:p w:rsidR="00C43BA2" w:rsidRPr="005F709D" w:rsidRDefault="00C43BA2" w:rsidP="002B0759">
      <w:pPr>
        <w:spacing w:before="100" w:after="100" w:line="240" w:lineRule="auto"/>
        <w:rPr>
          <w:rFonts w:ascii="Times New Roman" w:hAnsi="Times New Roman" w:cs="Times New Roman"/>
          <w:sz w:val="28"/>
          <w:szCs w:val="28"/>
        </w:rPr>
      </w:pPr>
      <w:r w:rsidRPr="005F709D">
        <w:rPr>
          <w:rFonts w:ascii="Times New Roman" w:hAnsi="Times New Roman" w:cs="Times New Roman"/>
          <w:sz w:val="28"/>
          <w:szCs w:val="28"/>
        </w:rPr>
        <w:t>Несмотря на существующие трудности становления ГЧП, большинство экспертов сходятся во мнении, что эта концепция призвана сыграть существенную роль в модернизации российской экономики, развитии инфраструктуры и повышении уровня жизни населения.</w:t>
      </w:r>
    </w:p>
    <w:p w:rsidR="00C43BA2" w:rsidRPr="005F709D" w:rsidRDefault="00C43BA2" w:rsidP="002B0759">
      <w:pPr>
        <w:spacing w:before="100" w:after="100" w:line="240" w:lineRule="auto"/>
        <w:rPr>
          <w:rFonts w:ascii="Times New Roman" w:hAnsi="Times New Roman" w:cs="Times New Roman"/>
          <w:sz w:val="28"/>
          <w:szCs w:val="28"/>
        </w:rPr>
      </w:pPr>
      <w:r w:rsidRPr="005F709D">
        <w:rPr>
          <w:rFonts w:ascii="Times New Roman" w:hAnsi="Times New Roman" w:cs="Times New Roman"/>
          <w:sz w:val="28"/>
          <w:szCs w:val="28"/>
        </w:rPr>
        <w:t>Однако дальнейшее становление ГЧП в России и увеличение проектов требуют существенного приложения усилий для развития благоприятной среды ГЧП со стороны государства.</w:t>
      </w:r>
    </w:p>
    <w:p w:rsidR="005F709D" w:rsidRPr="005F709D" w:rsidRDefault="00BC7243" w:rsidP="002B0759">
      <w:pPr>
        <w:spacing w:before="100" w:after="100" w:line="240" w:lineRule="auto"/>
        <w:rPr>
          <w:rFonts w:ascii="Times New Roman" w:hAnsi="Times New Roman" w:cs="Times New Roman"/>
          <w:b/>
          <w:sz w:val="28"/>
          <w:szCs w:val="28"/>
        </w:rPr>
      </w:pPr>
      <w:r>
        <w:rPr>
          <w:rFonts w:ascii="Times New Roman" w:hAnsi="Times New Roman" w:cs="Times New Roman"/>
          <w:b/>
          <w:sz w:val="28"/>
          <w:szCs w:val="28"/>
        </w:rPr>
        <w:t>Слайд 4</w:t>
      </w:r>
    </w:p>
    <w:p w:rsidR="005F709D" w:rsidRPr="005F709D" w:rsidRDefault="005F709D" w:rsidP="002B0759">
      <w:pPr>
        <w:spacing w:before="100" w:after="100" w:line="240" w:lineRule="auto"/>
        <w:rPr>
          <w:rFonts w:ascii="Times New Roman" w:hAnsi="Times New Roman" w:cs="Times New Roman"/>
          <w:sz w:val="28"/>
          <w:szCs w:val="28"/>
        </w:rPr>
      </w:pPr>
      <w:r w:rsidRPr="005F709D">
        <w:rPr>
          <w:rFonts w:ascii="Times New Roman" w:hAnsi="Times New Roman" w:cs="Times New Roman"/>
          <w:sz w:val="28"/>
          <w:szCs w:val="28"/>
        </w:rPr>
        <w:t xml:space="preserve">Эксперты выделяют следующие приоритетные направления для развития ГЧП в России: - формирование общей среды развития ГЧП: </w:t>
      </w:r>
    </w:p>
    <w:p w:rsidR="005F709D" w:rsidRPr="005F709D" w:rsidRDefault="005F709D" w:rsidP="002B0759">
      <w:pPr>
        <w:spacing w:before="100" w:after="100" w:line="240" w:lineRule="auto"/>
        <w:rPr>
          <w:rFonts w:ascii="Times New Roman" w:hAnsi="Times New Roman" w:cs="Times New Roman"/>
          <w:sz w:val="28"/>
          <w:szCs w:val="28"/>
        </w:rPr>
      </w:pPr>
      <w:r w:rsidRPr="005F709D">
        <w:rPr>
          <w:rFonts w:ascii="Times New Roman" w:hAnsi="Times New Roman" w:cs="Times New Roman"/>
          <w:sz w:val="28"/>
          <w:szCs w:val="28"/>
        </w:rPr>
        <w:t xml:space="preserve">- усиление нормативно-правового обеспечения ГЧП; </w:t>
      </w:r>
    </w:p>
    <w:p w:rsidR="005F709D" w:rsidRPr="005F709D" w:rsidRDefault="005F709D" w:rsidP="002B0759">
      <w:pPr>
        <w:spacing w:before="100" w:after="100" w:line="240" w:lineRule="auto"/>
        <w:rPr>
          <w:rFonts w:ascii="Times New Roman" w:hAnsi="Times New Roman" w:cs="Times New Roman"/>
          <w:sz w:val="28"/>
          <w:szCs w:val="28"/>
        </w:rPr>
      </w:pPr>
      <w:r w:rsidRPr="005F709D">
        <w:rPr>
          <w:rFonts w:ascii="Times New Roman" w:hAnsi="Times New Roman" w:cs="Times New Roman"/>
          <w:sz w:val="28"/>
          <w:szCs w:val="28"/>
        </w:rPr>
        <w:t xml:space="preserve">- повышение поддержки и гарантий государства партнерам из частного сектора; </w:t>
      </w:r>
    </w:p>
    <w:p w:rsidR="005F709D" w:rsidRPr="005F709D" w:rsidRDefault="005F709D" w:rsidP="002B0759">
      <w:pPr>
        <w:spacing w:before="100" w:after="100" w:line="240" w:lineRule="auto"/>
        <w:rPr>
          <w:rFonts w:ascii="Times New Roman" w:hAnsi="Times New Roman" w:cs="Times New Roman"/>
          <w:sz w:val="28"/>
          <w:szCs w:val="28"/>
        </w:rPr>
      </w:pPr>
      <w:r w:rsidRPr="005F709D">
        <w:rPr>
          <w:rFonts w:ascii="Times New Roman" w:hAnsi="Times New Roman" w:cs="Times New Roman"/>
          <w:sz w:val="28"/>
          <w:szCs w:val="28"/>
        </w:rPr>
        <w:t xml:space="preserve">- обеспечение государственной поддержки реализации проекта; - единый государственный орган по вопросам ГЧП; </w:t>
      </w:r>
    </w:p>
    <w:p w:rsidR="005F709D" w:rsidRPr="005F709D" w:rsidRDefault="005F709D" w:rsidP="002B0759">
      <w:pPr>
        <w:spacing w:before="100" w:after="100" w:line="240" w:lineRule="auto"/>
        <w:rPr>
          <w:rFonts w:ascii="Times New Roman" w:hAnsi="Times New Roman" w:cs="Times New Roman"/>
          <w:sz w:val="28"/>
          <w:szCs w:val="28"/>
        </w:rPr>
      </w:pPr>
      <w:r w:rsidRPr="005F709D">
        <w:rPr>
          <w:rFonts w:ascii="Times New Roman" w:hAnsi="Times New Roman" w:cs="Times New Roman"/>
          <w:sz w:val="28"/>
          <w:szCs w:val="28"/>
        </w:rPr>
        <w:t xml:space="preserve">- использование деловых объединений; </w:t>
      </w:r>
    </w:p>
    <w:p w:rsidR="005F709D" w:rsidRDefault="005F709D" w:rsidP="002B0759">
      <w:pPr>
        <w:spacing w:before="100" w:after="100" w:line="240" w:lineRule="auto"/>
        <w:rPr>
          <w:rFonts w:ascii="Times New Roman" w:hAnsi="Times New Roman" w:cs="Times New Roman"/>
          <w:sz w:val="28"/>
          <w:szCs w:val="28"/>
        </w:rPr>
      </w:pPr>
      <w:r w:rsidRPr="005F709D">
        <w:rPr>
          <w:rFonts w:ascii="Times New Roman" w:hAnsi="Times New Roman" w:cs="Times New Roman"/>
          <w:sz w:val="28"/>
          <w:szCs w:val="28"/>
        </w:rPr>
        <w:t>- более тщательная проработка проектов с обеих сторон и с общественностью.</w:t>
      </w:r>
    </w:p>
    <w:p w:rsidR="00BC7243" w:rsidRDefault="00BC7243" w:rsidP="002B0759">
      <w:pPr>
        <w:spacing w:before="100" w:after="100" w:line="240" w:lineRule="auto"/>
        <w:rPr>
          <w:rFonts w:ascii="Times New Roman" w:hAnsi="Times New Roman" w:cs="Times New Roman"/>
          <w:b/>
          <w:sz w:val="28"/>
          <w:szCs w:val="28"/>
        </w:rPr>
      </w:pPr>
      <w:r w:rsidRPr="00BC7243">
        <w:rPr>
          <w:rFonts w:ascii="Times New Roman" w:hAnsi="Times New Roman" w:cs="Times New Roman"/>
          <w:b/>
          <w:sz w:val="28"/>
          <w:szCs w:val="28"/>
        </w:rPr>
        <w:t>Слайд 5</w:t>
      </w:r>
    </w:p>
    <w:p w:rsidR="00BC7243" w:rsidRDefault="00BC7243" w:rsidP="002B0759">
      <w:pPr>
        <w:spacing w:before="100" w:after="100" w:line="240" w:lineRule="auto"/>
        <w:rPr>
          <w:rFonts w:ascii="Times New Roman" w:hAnsi="Times New Roman" w:cs="Times New Roman"/>
          <w:sz w:val="28"/>
          <w:szCs w:val="28"/>
        </w:rPr>
      </w:pPr>
      <w:r>
        <w:rPr>
          <w:rFonts w:ascii="Times New Roman" w:hAnsi="Times New Roman" w:cs="Times New Roman"/>
          <w:sz w:val="28"/>
          <w:szCs w:val="28"/>
        </w:rPr>
        <w:t>Так же ГЧП</w:t>
      </w:r>
      <w:r w:rsidRPr="00BC7243">
        <w:rPr>
          <w:rFonts w:ascii="Times New Roman" w:hAnsi="Times New Roman" w:cs="Times New Roman"/>
          <w:sz w:val="28"/>
          <w:szCs w:val="28"/>
        </w:rPr>
        <w:t xml:space="preserve"> может выступать не просто как форма реализации проектов, но и как механизм согласования интересов отдельных социальных групп и общественных институтов. В идеальном виде партнерство может пониматься как конструктивное взаимодействие организаций-партнеров для решения проблем подготовки и реализации проектов, «выгодное» каждой из сторон в отдельности и всем в целом</w:t>
      </w:r>
      <w:r>
        <w:rPr>
          <w:rFonts w:ascii="Times New Roman" w:hAnsi="Times New Roman" w:cs="Times New Roman"/>
          <w:sz w:val="28"/>
          <w:szCs w:val="28"/>
        </w:rPr>
        <w:t xml:space="preserve"> </w:t>
      </w:r>
    </w:p>
    <w:p w:rsidR="00BC7243" w:rsidRDefault="00BC7243" w:rsidP="002B0759">
      <w:pPr>
        <w:spacing w:before="100" w:after="100" w:line="240" w:lineRule="auto"/>
        <w:rPr>
          <w:rFonts w:ascii="Times New Roman" w:hAnsi="Times New Roman" w:cs="Times New Roman"/>
          <w:sz w:val="28"/>
          <w:szCs w:val="28"/>
        </w:rPr>
      </w:pPr>
      <w:r w:rsidRPr="00BC7243">
        <w:rPr>
          <w:rFonts w:ascii="Times New Roman" w:hAnsi="Times New Roman" w:cs="Times New Roman"/>
          <w:sz w:val="28"/>
          <w:szCs w:val="28"/>
        </w:rPr>
        <w:t>Преимущества ГЧП часто не лежат на поверхности, их нужно последовательно, профессионально и аргументировано разъяснять широкой общественности. Передача областей, традиционно относящихся к сфере деятельности государства, в частный сектор часто вызывает тревогу и опасения у населения. К тому же реализация проектов ГЧП требует привлечения бюджетных средств.</w:t>
      </w:r>
    </w:p>
    <w:p w:rsidR="00BC7243" w:rsidRDefault="00BC7243" w:rsidP="002B0759">
      <w:pPr>
        <w:spacing w:before="100" w:after="100" w:line="240" w:lineRule="auto"/>
        <w:rPr>
          <w:rFonts w:ascii="Times New Roman" w:hAnsi="Times New Roman" w:cs="Times New Roman"/>
          <w:sz w:val="28"/>
          <w:szCs w:val="28"/>
        </w:rPr>
      </w:pPr>
      <w:r w:rsidRPr="00BC7243">
        <w:rPr>
          <w:rFonts w:ascii="Times New Roman" w:hAnsi="Times New Roman" w:cs="Times New Roman"/>
          <w:sz w:val="28"/>
          <w:szCs w:val="28"/>
        </w:rPr>
        <w:lastRenderedPageBreak/>
        <w:t xml:space="preserve">Именно </w:t>
      </w:r>
      <w:r>
        <w:rPr>
          <w:rFonts w:ascii="Times New Roman" w:hAnsi="Times New Roman" w:cs="Times New Roman"/>
          <w:sz w:val="28"/>
          <w:szCs w:val="28"/>
        </w:rPr>
        <w:t xml:space="preserve">поэтому представители бизнеса, </w:t>
      </w:r>
      <w:r w:rsidRPr="00BC7243">
        <w:rPr>
          <w:rFonts w:ascii="Times New Roman" w:hAnsi="Times New Roman" w:cs="Times New Roman"/>
          <w:sz w:val="28"/>
          <w:szCs w:val="28"/>
        </w:rPr>
        <w:t>правительства и сектора бюджетных услуг должны выработать совместный план действий по более эффективному и систематическому разъяснению преимуществ, которые приносят обществу проекты ГЧП</w:t>
      </w:r>
    </w:p>
    <w:p w:rsidR="00BC7243" w:rsidRPr="00BC7243" w:rsidRDefault="00BC7243" w:rsidP="002B0759">
      <w:pPr>
        <w:spacing w:before="100" w:after="100" w:line="240" w:lineRule="auto"/>
        <w:rPr>
          <w:rFonts w:ascii="Times New Roman" w:hAnsi="Times New Roman" w:cs="Times New Roman"/>
          <w:b/>
          <w:sz w:val="28"/>
          <w:szCs w:val="28"/>
        </w:rPr>
      </w:pPr>
      <w:r w:rsidRPr="00BC7243">
        <w:rPr>
          <w:rFonts w:ascii="Times New Roman" w:hAnsi="Times New Roman" w:cs="Times New Roman"/>
          <w:b/>
          <w:sz w:val="28"/>
          <w:szCs w:val="28"/>
        </w:rPr>
        <w:t>Слайд 6</w:t>
      </w:r>
    </w:p>
    <w:p w:rsidR="00BC7243" w:rsidRDefault="00BC7243" w:rsidP="002B0759">
      <w:pPr>
        <w:spacing w:before="100" w:after="100" w:line="240" w:lineRule="auto"/>
        <w:rPr>
          <w:rFonts w:ascii="Times New Roman" w:hAnsi="Times New Roman" w:cs="Times New Roman"/>
          <w:sz w:val="28"/>
          <w:szCs w:val="28"/>
        </w:rPr>
      </w:pPr>
      <w:r w:rsidRPr="00BC7243">
        <w:rPr>
          <w:rFonts w:ascii="Times New Roman" w:hAnsi="Times New Roman" w:cs="Times New Roman"/>
          <w:sz w:val="28"/>
          <w:szCs w:val="28"/>
        </w:rPr>
        <w:t>Важным благоприятным фактором для развития ГЧП может стать включение схемы ГЧП в территориальное планирование. Стратегии развития регионов являются организационным механизмом, обеспечивающим прозрачный и открытый процесс формирования политики местного развития. Они также могут учесть и согласовать точки зрения различных групп общества, добиться с их стороны поддержки, а значит, и привлечь дополнительные ресурсы для развития и реализации общественно значимых проектов. Тем самым, стратегическое планирование способствует возникновению совместных проектов частного и общественного секторов и успешности их реализации.</w:t>
      </w:r>
    </w:p>
    <w:p w:rsidR="00BC7243" w:rsidRDefault="00BC7243" w:rsidP="002B0759">
      <w:pPr>
        <w:spacing w:before="100" w:after="100" w:line="240" w:lineRule="auto"/>
        <w:rPr>
          <w:rFonts w:ascii="Times New Roman" w:hAnsi="Times New Roman" w:cs="Times New Roman"/>
          <w:b/>
          <w:sz w:val="28"/>
          <w:szCs w:val="28"/>
        </w:rPr>
      </w:pPr>
      <w:r w:rsidRPr="00BC7243">
        <w:rPr>
          <w:rFonts w:ascii="Times New Roman" w:hAnsi="Times New Roman" w:cs="Times New Roman"/>
          <w:b/>
          <w:sz w:val="28"/>
          <w:szCs w:val="28"/>
        </w:rPr>
        <w:t>Слайд 7</w:t>
      </w:r>
    </w:p>
    <w:p w:rsidR="00673A77" w:rsidRDefault="00673A77" w:rsidP="002B0759">
      <w:pPr>
        <w:spacing w:before="100" w:after="100" w:line="240" w:lineRule="auto"/>
        <w:rPr>
          <w:rFonts w:ascii="Times New Roman" w:hAnsi="Times New Roman" w:cs="Times New Roman"/>
          <w:sz w:val="28"/>
          <w:szCs w:val="28"/>
        </w:rPr>
      </w:pPr>
      <w:r w:rsidRPr="00673A77">
        <w:rPr>
          <w:rFonts w:ascii="Times New Roman" w:hAnsi="Times New Roman" w:cs="Times New Roman"/>
          <w:sz w:val="28"/>
          <w:szCs w:val="28"/>
        </w:rPr>
        <w:t>Поддержка и высокий уровень гарантий со стороны государства партнерам из частного сектора является важным фактором развития ГЧП, о чем свидетельствует постепенное развитие и усложнение форм ГЧП: от простого госконтракта к сложным и долгосрочным концессионным схемам. В целом же можно говорить о том, что в течение последних лет распределение рисков между государством и бизнесом становится все более сбалансированным. В большинстве крупных проектов ГЧП, реализованных в России, использовались механизмы кредитного финансирования. В то же время в мировой практике наряду с кредитной формой активно используется механизм облигационных займов. Необходимо дальнейшее совершенствование кредитных форм финансирования, а также развитие законодательства для более эффективного использования облигационных займов.</w:t>
      </w:r>
    </w:p>
    <w:p w:rsidR="00673A77" w:rsidRPr="00673A77" w:rsidRDefault="00673A77" w:rsidP="002B0759">
      <w:pPr>
        <w:spacing w:before="100" w:after="100" w:line="240" w:lineRule="auto"/>
        <w:rPr>
          <w:rFonts w:ascii="Times New Roman" w:hAnsi="Times New Roman" w:cs="Times New Roman"/>
          <w:b/>
          <w:sz w:val="28"/>
          <w:szCs w:val="28"/>
        </w:rPr>
      </w:pPr>
      <w:r w:rsidRPr="00673A77">
        <w:rPr>
          <w:rFonts w:ascii="Times New Roman" w:hAnsi="Times New Roman" w:cs="Times New Roman"/>
          <w:b/>
          <w:sz w:val="28"/>
          <w:szCs w:val="28"/>
        </w:rPr>
        <w:t>Слайд 8</w:t>
      </w:r>
    </w:p>
    <w:p w:rsidR="00673A77" w:rsidRDefault="00673A77" w:rsidP="002B0759">
      <w:pPr>
        <w:spacing w:before="100" w:after="100" w:line="240" w:lineRule="auto"/>
        <w:rPr>
          <w:rFonts w:ascii="Times New Roman" w:hAnsi="Times New Roman" w:cs="Times New Roman"/>
          <w:sz w:val="28"/>
          <w:szCs w:val="28"/>
        </w:rPr>
      </w:pPr>
      <w:r w:rsidRPr="00673A77">
        <w:rPr>
          <w:rFonts w:ascii="Times New Roman" w:hAnsi="Times New Roman" w:cs="Times New Roman"/>
          <w:sz w:val="28"/>
          <w:szCs w:val="28"/>
        </w:rPr>
        <w:t>С точки зрения институциональной структуры на современном этапе становления ГЧП в России возрастает значение бизнес-ассоциаций и консультантов для формирования необходимой институциональной и нормативно-правовой среды, а также для развития конкретных проектов. Бизнес заинтересован в том, чтобы продвигать инициативы и привлекать внимание властей к существующим сложностям ГЧП. Бизнес-ассоциации и другие общественные объединения могли бы внести немалый вклад в эту работу.</w:t>
      </w:r>
    </w:p>
    <w:p w:rsidR="007B57CD" w:rsidRPr="007B57CD" w:rsidRDefault="007B57CD" w:rsidP="002B0759">
      <w:pPr>
        <w:spacing w:before="100" w:after="100" w:line="240" w:lineRule="auto"/>
        <w:rPr>
          <w:rFonts w:ascii="Times New Roman" w:hAnsi="Times New Roman" w:cs="Times New Roman"/>
          <w:b/>
          <w:sz w:val="28"/>
          <w:szCs w:val="28"/>
        </w:rPr>
      </w:pPr>
      <w:r w:rsidRPr="007B57CD">
        <w:rPr>
          <w:rFonts w:ascii="Times New Roman" w:hAnsi="Times New Roman" w:cs="Times New Roman"/>
          <w:b/>
          <w:sz w:val="28"/>
          <w:szCs w:val="28"/>
        </w:rPr>
        <w:t>Слайд 9</w:t>
      </w:r>
    </w:p>
    <w:p w:rsidR="007B57CD" w:rsidRDefault="007B57CD" w:rsidP="002B0759">
      <w:pPr>
        <w:spacing w:before="100" w:after="100" w:line="240" w:lineRule="auto"/>
        <w:rPr>
          <w:rFonts w:ascii="Times New Roman" w:hAnsi="Times New Roman" w:cs="Times New Roman"/>
          <w:sz w:val="28"/>
          <w:szCs w:val="28"/>
        </w:rPr>
      </w:pPr>
      <w:r w:rsidRPr="007B57CD">
        <w:rPr>
          <w:rFonts w:ascii="Times New Roman" w:hAnsi="Times New Roman" w:cs="Times New Roman"/>
          <w:sz w:val="28"/>
          <w:szCs w:val="28"/>
        </w:rPr>
        <w:t xml:space="preserve">В условиях отсутствия единого органа в сфере ГЧП межотраслевые и отраслевые ассоциации могли бы взять на себя задачу сбора лучших практик в сфере ГЧП, консультирования компаний по вопросам ГЧП. Отраслевые </w:t>
      </w:r>
      <w:r w:rsidRPr="007B57CD">
        <w:rPr>
          <w:rFonts w:ascii="Times New Roman" w:hAnsi="Times New Roman" w:cs="Times New Roman"/>
          <w:sz w:val="28"/>
          <w:szCs w:val="28"/>
        </w:rPr>
        <w:lastRenderedPageBreak/>
        <w:t>ассоциации могут быть эффективным инструментом в развитии процедур взаимодействия бизнеса и власти в своих отраслях, к примеру, путем участия в разработки типовых концессионных соглашений.</w:t>
      </w:r>
    </w:p>
    <w:p w:rsidR="007B57CD" w:rsidRPr="007B57CD" w:rsidRDefault="007B57CD" w:rsidP="002B0759">
      <w:pPr>
        <w:spacing w:before="100" w:after="100" w:line="240" w:lineRule="auto"/>
        <w:rPr>
          <w:rFonts w:ascii="Times New Roman" w:hAnsi="Times New Roman" w:cs="Times New Roman"/>
          <w:b/>
          <w:sz w:val="28"/>
          <w:szCs w:val="28"/>
        </w:rPr>
      </w:pPr>
      <w:r w:rsidRPr="007B57CD">
        <w:rPr>
          <w:rFonts w:ascii="Times New Roman" w:hAnsi="Times New Roman" w:cs="Times New Roman"/>
          <w:b/>
          <w:sz w:val="28"/>
          <w:szCs w:val="28"/>
        </w:rPr>
        <w:t>Слайд 10</w:t>
      </w:r>
    </w:p>
    <w:p w:rsidR="007B57CD" w:rsidRPr="007B57CD" w:rsidRDefault="007B57CD" w:rsidP="002B0759">
      <w:pPr>
        <w:spacing w:before="100" w:after="100" w:line="240" w:lineRule="auto"/>
        <w:rPr>
          <w:rFonts w:ascii="Times New Roman" w:hAnsi="Times New Roman" w:cs="Times New Roman"/>
          <w:sz w:val="28"/>
          <w:szCs w:val="28"/>
        </w:rPr>
      </w:pPr>
      <w:r w:rsidRPr="007B57CD">
        <w:rPr>
          <w:rFonts w:ascii="Times New Roman" w:hAnsi="Times New Roman" w:cs="Times New Roman"/>
          <w:sz w:val="28"/>
          <w:szCs w:val="28"/>
        </w:rPr>
        <w:t>В системе ГЧП необходимо проводить постоянные консультации — без диалога между бизнесом и государством подобные проекты невозможно реализовать. Зарубежный опыт свидетельствует, что нередко причиной неудач при реализации проектов ГЧП становится недостаточно тщательная или ошибочная проработка проектов со стороны обоих партнеров. На стадии подготовки проекта необходимо выработать четкие ожидания от проекта, как можно ранее начать консультации между сторонами, определить выгодность</w:t>
      </w:r>
      <w:r>
        <w:rPr>
          <w:rFonts w:ascii="Times New Roman" w:hAnsi="Times New Roman" w:cs="Times New Roman"/>
          <w:sz w:val="28"/>
          <w:szCs w:val="28"/>
        </w:rPr>
        <w:t xml:space="preserve"> </w:t>
      </w:r>
      <w:r w:rsidRPr="007B57CD">
        <w:rPr>
          <w:rFonts w:ascii="Times New Roman" w:hAnsi="Times New Roman" w:cs="Times New Roman"/>
          <w:sz w:val="28"/>
          <w:szCs w:val="28"/>
        </w:rPr>
        <w:t>реализации проекта для частного и государственного секторов.</w:t>
      </w:r>
    </w:p>
    <w:p w:rsidR="00BC7243" w:rsidRDefault="00673A77" w:rsidP="002B0759">
      <w:pPr>
        <w:spacing w:before="100" w:after="100" w:line="240" w:lineRule="auto"/>
        <w:rPr>
          <w:rFonts w:ascii="Times New Roman" w:hAnsi="Times New Roman" w:cs="Times New Roman"/>
          <w:b/>
          <w:sz w:val="28"/>
          <w:szCs w:val="28"/>
        </w:rPr>
      </w:pPr>
      <w:r w:rsidRPr="00673A77">
        <w:rPr>
          <w:rFonts w:ascii="Times New Roman" w:hAnsi="Times New Roman" w:cs="Times New Roman"/>
          <w:b/>
          <w:sz w:val="28"/>
          <w:szCs w:val="28"/>
        </w:rPr>
        <w:t>Для доп. вопросов:</w:t>
      </w:r>
    </w:p>
    <w:p w:rsidR="00673A77" w:rsidRDefault="00673A77" w:rsidP="002B0759">
      <w:pPr>
        <w:spacing w:before="100" w:after="100" w:line="240" w:lineRule="auto"/>
        <w:rPr>
          <w:rFonts w:ascii="Times New Roman" w:hAnsi="Times New Roman" w:cs="Times New Roman"/>
          <w:sz w:val="28"/>
          <w:szCs w:val="28"/>
        </w:rPr>
      </w:pPr>
      <w:r w:rsidRPr="00673A77">
        <w:rPr>
          <w:rFonts w:ascii="Times New Roman" w:hAnsi="Times New Roman" w:cs="Times New Roman"/>
          <w:sz w:val="28"/>
          <w:szCs w:val="28"/>
        </w:rPr>
        <w:t>В стратегии использования ГЧ</w:t>
      </w:r>
      <w:bookmarkStart w:id="0" w:name="_GoBack"/>
      <w:bookmarkEnd w:id="0"/>
      <w:r w:rsidRPr="00673A77">
        <w:rPr>
          <w:rFonts w:ascii="Times New Roman" w:hAnsi="Times New Roman" w:cs="Times New Roman"/>
          <w:sz w:val="28"/>
          <w:szCs w:val="28"/>
        </w:rPr>
        <w:t>П должны быть зафиксированы:</w:t>
      </w:r>
    </w:p>
    <w:p w:rsidR="00673A77" w:rsidRDefault="00673A77" w:rsidP="002B0759">
      <w:pPr>
        <w:spacing w:before="100" w:after="100" w:line="240" w:lineRule="auto"/>
        <w:rPr>
          <w:rFonts w:ascii="Times New Roman" w:hAnsi="Times New Roman" w:cs="Times New Roman"/>
          <w:sz w:val="28"/>
          <w:szCs w:val="28"/>
        </w:rPr>
      </w:pPr>
      <w:r w:rsidRPr="00673A77">
        <w:rPr>
          <w:rFonts w:ascii="Times New Roman" w:hAnsi="Times New Roman" w:cs="Times New Roman"/>
          <w:sz w:val="28"/>
          <w:szCs w:val="28"/>
        </w:rPr>
        <w:t>- общие представления о планах в отношении ГЧП, видах услуг, которые будут оказывать ГЧП, предполагаемых формах партнерства и требован</w:t>
      </w:r>
      <w:r>
        <w:rPr>
          <w:rFonts w:ascii="Times New Roman" w:hAnsi="Times New Roman" w:cs="Times New Roman"/>
          <w:sz w:val="28"/>
          <w:szCs w:val="28"/>
        </w:rPr>
        <w:t>иях к потенциальным партнерам;</w:t>
      </w:r>
    </w:p>
    <w:p w:rsidR="00673A77" w:rsidRDefault="00673A77" w:rsidP="002B0759">
      <w:pPr>
        <w:spacing w:before="100" w:after="10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73A77">
        <w:rPr>
          <w:rFonts w:ascii="Times New Roman" w:hAnsi="Times New Roman" w:cs="Times New Roman"/>
          <w:sz w:val="28"/>
          <w:szCs w:val="28"/>
        </w:rPr>
        <w:t xml:space="preserve">руководящие принципы, </w:t>
      </w:r>
      <w:r>
        <w:rPr>
          <w:rFonts w:ascii="Times New Roman" w:hAnsi="Times New Roman" w:cs="Times New Roman"/>
          <w:sz w:val="28"/>
          <w:szCs w:val="28"/>
        </w:rPr>
        <w:t>например</w:t>
      </w:r>
      <w:r w:rsidRPr="00673A77">
        <w:rPr>
          <w:rFonts w:ascii="Times New Roman" w:hAnsi="Times New Roman" w:cs="Times New Roman"/>
          <w:sz w:val="28"/>
          <w:szCs w:val="28"/>
        </w:rPr>
        <w:t>: ГЧП должны снижать государственные расходы на обслуживание; все инициативы ГЧП должны быть открыты и прозрачны;</w:t>
      </w:r>
    </w:p>
    <w:p w:rsidR="00673A77" w:rsidRDefault="00673A77" w:rsidP="002B0759">
      <w:pPr>
        <w:spacing w:before="100" w:after="100" w:line="240" w:lineRule="auto"/>
        <w:rPr>
          <w:rFonts w:ascii="Times New Roman" w:hAnsi="Times New Roman" w:cs="Times New Roman"/>
          <w:sz w:val="28"/>
          <w:szCs w:val="28"/>
        </w:rPr>
      </w:pPr>
      <w:r w:rsidRPr="00673A77">
        <w:rPr>
          <w:rFonts w:ascii="Times New Roman" w:hAnsi="Times New Roman" w:cs="Times New Roman"/>
          <w:sz w:val="28"/>
          <w:szCs w:val="28"/>
        </w:rPr>
        <w:t>- стратегия коммуникаций, обеспечивающая открытые консультации и обсуждение всех аспектов организации ГЧП как внутри органов власти, так и с местным сообществом;</w:t>
      </w:r>
    </w:p>
    <w:p w:rsidR="00673A77" w:rsidRDefault="00673A77" w:rsidP="002B0759">
      <w:pPr>
        <w:spacing w:before="100" w:after="100" w:line="240" w:lineRule="auto"/>
        <w:rPr>
          <w:rFonts w:ascii="Times New Roman" w:hAnsi="Times New Roman" w:cs="Times New Roman"/>
          <w:sz w:val="28"/>
          <w:szCs w:val="28"/>
        </w:rPr>
      </w:pPr>
      <w:r w:rsidRPr="00673A77">
        <w:rPr>
          <w:rFonts w:ascii="Times New Roman" w:hAnsi="Times New Roman" w:cs="Times New Roman"/>
          <w:sz w:val="28"/>
          <w:szCs w:val="28"/>
        </w:rPr>
        <w:t>- стратегия в отношении кадров, активное использование ГЧП потребует подготовки чиновников;</w:t>
      </w:r>
    </w:p>
    <w:p w:rsidR="00673A77" w:rsidRDefault="00673A77" w:rsidP="002B0759">
      <w:pPr>
        <w:spacing w:before="100" w:after="100" w:line="240" w:lineRule="auto"/>
        <w:rPr>
          <w:rFonts w:ascii="Times New Roman" w:hAnsi="Times New Roman" w:cs="Times New Roman"/>
          <w:sz w:val="28"/>
          <w:szCs w:val="28"/>
        </w:rPr>
      </w:pPr>
      <w:r w:rsidRPr="00673A77">
        <w:rPr>
          <w:rFonts w:ascii="Times New Roman" w:hAnsi="Times New Roman" w:cs="Times New Roman"/>
          <w:sz w:val="28"/>
          <w:szCs w:val="28"/>
        </w:rPr>
        <w:t>- процедура работы ГЧП, фиксирующая стандартные процедуры создания и функционирования ГЧП;</w:t>
      </w:r>
    </w:p>
    <w:p w:rsidR="00673A77" w:rsidRPr="00673A77" w:rsidRDefault="00673A77" w:rsidP="002B0759">
      <w:pPr>
        <w:spacing w:before="100" w:after="100" w:line="240" w:lineRule="auto"/>
        <w:rPr>
          <w:rFonts w:ascii="Times New Roman" w:hAnsi="Times New Roman" w:cs="Times New Roman"/>
          <w:sz w:val="28"/>
          <w:szCs w:val="28"/>
        </w:rPr>
      </w:pPr>
      <w:r w:rsidRPr="00673A77">
        <w:rPr>
          <w:rFonts w:ascii="Times New Roman" w:hAnsi="Times New Roman" w:cs="Times New Roman"/>
          <w:sz w:val="28"/>
          <w:szCs w:val="28"/>
        </w:rPr>
        <w:t>- формальный статус стратегии использования ГЧП, гарантирующий ее стабильность и надежность.</w:t>
      </w:r>
    </w:p>
    <w:sectPr w:rsidR="00673A77" w:rsidRPr="00673A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48"/>
    <w:rsid w:val="002B0759"/>
    <w:rsid w:val="00431948"/>
    <w:rsid w:val="005F709D"/>
    <w:rsid w:val="00673A77"/>
    <w:rsid w:val="00696887"/>
    <w:rsid w:val="007B57CD"/>
    <w:rsid w:val="00BC7243"/>
    <w:rsid w:val="00C43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01D9"/>
  <w15:chartTrackingRefBased/>
  <w15:docId w15:val="{103A1B7A-244D-45A8-B248-00D00598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861</Words>
  <Characters>4910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2018-04-13T12:57:00Z</dcterms:created>
  <dcterms:modified xsi:type="dcterms:W3CDTF">2018-04-13T14:06:00Z</dcterms:modified>
</cp:coreProperties>
</file>