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73EF" w:rsidRPr="00E073EF" w:rsidRDefault="00E073EF" w:rsidP="00E073EF">
      <w:pPr>
        <w:pStyle w:val="FR1"/>
        <w:tabs>
          <w:tab w:val="left" w:pos="900"/>
          <w:tab w:val="left" w:pos="1080"/>
          <w:tab w:val="left" w:pos="5420"/>
        </w:tabs>
        <w:suppressAutoHyphens/>
        <w:spacing w:before="0"/>
        <w:ind w:left="0" w:right="0"/>
        <w:rPr>
          <w:b w:val="0"/>
          <w:color w:val="000000"/>
          <w:sz w:val="28"/>
          <w:szCs w:val="28"/>
        </w:rPr>
      </w:pPr>
      <w:r w:rsidRPr="00E073EF">
        <w:rPr>
          <w:b w:val="0"/>
          <w:color w:val="000000"/>
          <w:sz w:val="28"/>
          <w:szCs w:val="28"/>
        </w:rPr>
        <w:t>Федеральное государственное бюджетное образовательное учреждение</w:t>
      </w:r>
    </w:p>
    <w:p w:rsidR="00E073EF" w:rsidRPr="00E073EF" w:rsidRDefault="00E073EF" w:rsidP="00E073EF">
      <w:pPr>
        <w:pStyle w:val="FR1"/>
        <w:tabs>
          <w:tab w:val="left" w:pos="900"/>
          <w:tab w:val="left" w:pos="1080"/>
          <w:tab w:val="left" w:pos="5420"/>
        </w:tabs>
        <w:suppressAutoHyphens/>
        <w:spacing w:before="0"/>
        <w:ind w:left="0" w:right="0"/>
        <w:rPr>
          <w:b w:val="0"/>
          <w:color w:val="000000"/>
          <w:sz w:val="28"/>
          <w:szCs w:val="28"/>
        </w:rPr>
      </w:pPr>
      <w:r w:rsidRPr="00E073EF">
        <w:rPr>
          <w:b w:val="0"/>
          <w:color w:val="000000"/>
          <w:sz w:val="28"/>
          <w:szCs w:val="28"/>
        </w:rPr>
        <w:t>высшего образования</w:t>
      </w:r>
    </w:p>
    <w:p w:rsidR="00E073EF" w:rsidRPr="00E073EF" w:rsidRDefault="00E073EF" w:rsidP="00E073EF">
      <w:pPr>
        <w:pStyle w:val="FR1"/>
        <w:tabs>
          <w:tab w:val="left" w:pos="900"/>
          <w:tab w:val="left" w:pos="1080"/>
          <w:tab w:val="left" w:pos="5420"/>
        </w:tabs>
        <w:suppressAutoHyphens/>
        <w:spacing w:before="0"/>
        <w:ind w:left="0" w:right="0"/>
        <w:rPr>
          <w:b w:val="0"/>
          <w:color w:val="000000"/>
          <w:sz w:val="28"/>
          <w:szCs w:val="28"/>
        </w:rPr>
      </w:pPr>
      <w:r w:rsidRPr="00E073EF">
        <w:rPr>
          <w:b w:val="0"/>
          <w:color w:val="000000"/>
          <w:sz w:val="28"/>
          <w:szCs w:val="28"/>
        </w:rPr>
        <w:t>«Тверской государственный университет»</w:t>
      </w:r>
    </w:p>
    <w:p w:rsidR="00E073EF" w:rsidRPr="00E073EF" w:rsidRDefault="00E073EF" w:rsidP="00E073EF">
      <w:pPr>
        <w:pStyle w:val="3"/>
        <w:keepNext w:val="0"/>
        <w:tabs>
          <w:tab w:val="left" w:pos="900"/>
          <w:tab w:val="left" w:pos="1080"/>
        </w:tabs>
        <w:suppressAutoHyphens/>
        <w:rPr>
          <w:szCs w:val="28"/>
        </w:rPr>
      </w:pPr>
    </w:p>
    <w:p w:rsidR="00E073EF" w:rsidRPr="00E073EF" w:rsidRDefault="00E073EF" w:rsidP="00E073EF">
      <w:pPr>
        <w:spacing w:after="0" w:line="240" w:lineRule="auto"/>
        <w:jc w:val="center"/>
        <w:rPr>
          <w:rFonts w:ascii="Times New Roman" w:hAnsi="Times New Roman" w:cs="Times New Roman"/>
          <w:b/>
          <w:bCs/>
          <w:sz w:val="28"/>
        </w:rPr>
      </w:pPr>
      <w:bookmarkStart w:id="0" w:name="_Toc501732024"/>
      <w:r w:rsidRPr="00E073EF">
        <w:rPr>
          <w:rFonts w:ascii="Times New Roman" w:hAnsi="Times New Roman" w:cs="Times New Roman"/>
          <w:sz w:val="28"/>
        </w:rPr>
        <w:t>Институт экономики и управления</w:t>
      </w:r>
      <w:bookmarkEnd w:id="0"/>
    </w:p>
    <w:p w:rsidR="00E073EF" w:rsidRPr="00E073EF" w:rsidRDefault="00E073EF" w:rsidP="00E073EF">
      <w:pPr>
        <w:pStyle w:val="a6"/>
        <w:tabs>
          <w:tab w:val="left" w:pos="900"/>
          <w:tab w:val="left" w:pos="1080"/>
          <w:tab w:val="left" w:pos="7020"/>
        </w:tabs>
        <w:suppressAutoHyphens/>
        <w:ind w:firstLine="0"/>
        <w:jc w:val="center"/>
        <w:rPr>
          <w:rFonts w:ascii="Times New Roman" w:hAnsi="Times New Roman"/>
          <w:sz w:val="28"/>
          <w:szCs w:val="28"/>
        </w:rPr>
      </w:pPr>
    </w:p>
    <w:p w:rsidR="00E073EF" w:rsidRPr="00E073EF" w:rsidRDefault="00E073EF" w:rsidP="00E073EF">
      <w:pPr>
        <w:pStyle w:val="a6"/>
        <w:tabs>
          <w:tab w:val="left" w:pos="900"/>
          <w:tab w:val="left" w:pos="1080"/>
          <w:tab w:val="left" w:pos="7020"/>
        </w:tabs>
        <w:suppressAutoHyphens/>
        <w:ind w:firstLine="0"/>
        <w:jc w:val="center"/>
        <w:rPr>
          <w:rFonts w:ascii="Times New Roman" w:hAnsi="Times New Roman"/>
          <w:sz w:val="28"/>
          <w:szCs w:val="28"/>
        </w:rPr>
      </w:pPr>
      <w:r w:rsidRPr="00E073EF">
        <w:rPr>
          <w:rFonts w:ascii="Times New Roman" w:hAnsi="Times New Roman"/>
          <w:sz w:val="28"/>
          <w:szCs w:val="28"/>
        </w:rPr>
        <w:t>Кафедра экономики предприятия и менеджмента</w:t>
      </w:r>
    </w:p>
    <w:p w:rsidR="00E073EF" w:rsidRPr="00E073EF" w:rsidRDefault="00E073EF" w:rsidP="00E073EF">
      <w:pPr>
        <w:pStyle w:val="a6"/>
        <w:tabs>
          <w:tab w:val="left" w:pos="900"/>
          <w:tab w:val="left" w:pos="1080"/>
          <w:tab w:val="left" w:pos="7020"/>
        </w:tabs>
        <w:suppressAutoHyphens/>
        <w:ind w:firstLine="0"/>
        <w:jc w:val="center"/>
        <w:rPr>
          <w:rFonts w:ascii="Times New Roman" w:hAnsi="Times New Roman"/>
          <w:sz w:val="28"/>
          <w:szCs w:val="28"/>
        </w:rPr>
      </w:pPr>
    </w:p>
    <w:p w:rsidR="00E073EF" w:rsidRPr="00E073EF" w:rsidRDefault="00E073EF" w:rsidP="00E073EF">
      <w:pPr>
        <w:tabs>
          <w:tab w:val="left" w:pos="900"/>
          <w:tab w:val="left" w:pos="1080"/>
        </w:tabs>
        <w:suppressAutoHyphens/>
        <w:spacing w:after="0" w:line="240" w:lineRule="auto"/>
        <w:ind w:firstLine="567"/>
        <w:jc w:val="center"/>
        <w:rPr>
          <w:rFonts w:ascii="Times New Roman" w:hAnsi="Times New Roman" w:cs="Times New Roman"/>
          <w:b/>
          <w:sz w:val="28"/>
          <w:szCs w:val="28"/>
        </w:rPr>
      </w:pPr>
    </w:p>
    <w:p w:rsidR="00E073EF" w:rsidRPr="00E073EF" w:rsidRDefault="00E073EF" w:rsidP="00E073EF">
      <w:pPr>
        <w:tabs>
          <w:tab w:val="left" w:pos="900"/>
          <w:tab w:val="left" w:pos="1080"/>
        </w:tabs>
        <w:suppressAutoHyphens/>
        <w:spacing w:after="0" w:line="240" w:lineRule="auto"/>
        <w:ind w:firstLine="567"/>
        <w:jc w:val="center"/>
        <w:rPr>
          <w:rFonts w:ascii="Times New Roman" w:hAnsi="Times New Roman" w:cs="Times New Roman"/>
          <w:b/>
          <w:sz w:val="28"/>
          <w:szCs w:val="28"/>
        </w:rPr>
      </w:pPr>
    </w:p>
    <w:p w:rsidR="00E073EF" w:rsidRPr="00E073EF" w:rsidRDefault="00E073EF" w:rsidP="00E073EF">
      <w:pPr>
        <w:tabs>
          <w:tab w:val="left" w:pos="900"/>
          <w:tab w:val="left" w:pos="1080"/>
        </w:tabs>
        <w:suppressAutoHyphens/>
        <w:spacing w:after="0" w:line="240" w:lineRule="auto"/>
        <w:ind w:firstLine="567"/>
        <w:jc w:val="center"/>
        <w:rPr>
          <w:rFonts w:ascii="Times New Roman" w:hAnsi="Times New Roman" w:cs="Times New Roman"/>
          <w:b/>
          <w:sz w:val="28"/>
          <w:szCs w:val="28"/>
        </w:rPr>
      </w:pPr>
    </w:p>
    <w:p w:rsidR="00E073EF" w:rsidRPr="00E073EF" w:rsidRDefault="00E073EF" w:rsidP="00E073EF">
      <w:pPr>
        <w:tabs>
          <w:tab w:val="left" w:pos="900"/>
          <w:tab w:val="left" w:pos="1080"/>
        </w:tabs>
        <w:suppressAutoHyphens/>
        <w:spacing w:after="0" w:line="240" w:lineRule="auto"/>
        <w:ind w:firstLine="567"/>
        <w:jc w:val="center"/>
        <w:rPr>
          <w:rFonts w:ascii="Times New Roman" w:hAnsi="Times New Roman" w:cs="Times New Roman"/>
          <w:b/>
          <w:sz w:val="28"/>
          <w:szCs w:val="28"/>
        </w:rPr>
      </w:pPr>
    </w:p>
    <w:p w:rsidR="00E073EF" w:rsidRPr="00E073EF" w:rsidRDefault="00E073EF" w:rsidP="00E073EF">
      <w:pPr>
        <w:tabs>
          <w:tab w:val="left" w:pos="900"/>
          <w:tab w:val="left" w:pos="1080"/>
        </w:tabs>
        <w:suppressAutoHyphens/>
        <w:spacing w:after="0" w:line="240" w:lineRule="auto"/>
        <w:jc w:val="center"/>
        <w:rPr>
          <w:rFonts w:ascii="Times New Roman" w:hAnsi="Times New Roman" w:cs="Times New Roman"/>
          <w:b/>
          <w:sz w:val="36"/>
          <w:szCs w:val="36"/>
        </w:rPr>
      </w:pPr>
      <w:r w:rsidRPr="00E073EF">
        <w:rPr>
          <w:rFonts w:ascii="Times New Roman" w:hAnsi="Times New Roman" w:cs="Times New Roman"/>
          <w:b/>
          <w:sz w:val="36"/>
          <w:szCs w:val="36"/>
        </w:rPr>
        <w:t>Отчет</w:t>
      </w:r>
    </w:p>
    <w:p w:rsidR="00E073EF" w:rsidRPr="00E073EF" w:rsidRDefault="00E073EF" w:rsidP="00E073EF">
      <w:pPr>
        <w:tabs>
          <w:tab w:val="left" w:pos="900"/>
          <w:tab w:val="left" w:pos="1080"/>
        </w:tabs>
        <w:suppressAutoHyphens/>
        <w:spacing w:after="0" w:line="240" w:lineRule="auto"/>
        <w:ind w:firstLine="567"/>
        <w:jc w:val="center"/>
        <w:rPr>
          <w:rFonts w:ascii="Times New Roman" w:hAnsi="Times New Roman" w:cs="Times New Roman"/>
          <w:b/>
          <w:sz w:val="36"/>
          <w:szCs w:val="36"/>
        </w:rPr>
      </w:pPr>
      <w:r w:rsidRPr="00E073EF">
        <w:rPr>
          <w:rFonts w:ascii="Times New Roman" w:hAnsi="Times New Roman" w:cs="Times New Roman"/>
          <w:b/>
          <w:sz w:val="36"/>
          <w:szCs w:val="36"/>
        </w:rPr>
        <w:t xml:space="preserve"> по </w:t>
      </w:r>
      <w:r w:rsidR="002E0A09">
        <w:rPr>
          <w:rFonts w:ascii="Times New Roman" w:hAnsi="Times New Roman" w:cs="Times New Roman"/>
          <w:b/>
          <w:sz w:val="36"/>
          <w:szCs w:val="36"/>
        </w:rPr>
        <w:t>производственной практике (НИР)</w:t>
      </w:r>
      <w:bookmarkStart w:id="1" w:name="_GoBack"/>
      <w:bookmarkEnd w:id="1"/>
    </w:p>
    <w:p w:rsidR="00E073EF" w:rsidRPr="00E073EF" w:rsidRDefault="00E073EF" w:rsidP="00E073EF">
      <w:pPr>
        <w:tabs>
          <w:tab w:val="left" w:pos="900"/>
          <w:tab w:val="left" w:pos="1080"/>
        </w:tabs>
        <w:suppressAutoHyphens/>
        <w:spacing w:after="0" w:line="240" w:lineRule="auto"/>
        <w:ind w:firstLine="567"/>
        <w:jc w:val="center"/>
        <w:rPr>
          <w:rFonts w:ascii="Times New Roman" w:hAnsi="Times New Roman" w:cs="Times New Roman"/>
          <w:sz w:val="36"/>
          <w:szCs w:val="36"/>
        </w:rPr>
      </w:pPr>
      <w:r w:rsidRPr="00E073EF">
        <w:rPr>
          <w:rFonts w:ascii="Times New Roman" w:hAnsi="Times New Roman" w:cs="Times New Roman"/>
          <w:b/>
          <w:sz w:val="36"/>
          <w:szCs w:val="36"/>
        </w:rPr>
        <w:t xml:space="preserve">за 3 семестр </w:t>
      </w:r>
    </w:p>
    <w:p w:rsidR="00E073EF" w:rsidRDefault="00E073EF" w:rsidP="00E073EF">
      <w:pPr>
        <w:shd w:val="clear" w:color="auto" w:fill="FFFFFF"/>
        <w:suppressAutoHyphens/>
        <w:spacing w:after="0" w:line="240" w:lineRule="auto"/>
        <w:jc w:val="center"/>
        <w:rPr>
          <w:rFonts w:ascii="Times New Roman" w:hAnsi="Times New Roman" w:cs="Times New Roman"/>
          <w:spacing w:val="-6"/>
          <w:sz w:val="28"/>
          <w:szCs w:val="28"/>
        </w:rPr>
      </w:pPr>
    </w:p>
    <w:p w:rsidR="00E073EF" w:rsidRPr="00E073EF" w:rsidRDefault="00E073EF" w:rsidP="00E073EF">
      <w:pPr>
        <w:shd w:val="clear" w:color="auto" w:fill="FFFFFF"/>
        <w:suppressAutoHyphens/>
        <w:spacing w:after="0" w:line="240" w:lineRule="auto"/>
        <w:jc w:val="center"/>
        <w:rPr>
          <w:rFonts w:ascii="Times New Roman" w:hAnsi="Times New Roman" w:cs="Times New Roman"/>
          <w:spacing w:val="-6"/>
          <w:sz w:val="28"/>
          <w:szCs w:val="28"/>
        </w:rPr>
      </w:pPr>
    </w:p>
    <w:p w:rsidR="00E073EF" w:rsidRDefault="00E073EF" w:rsidP="00E073EF">
      <w:pPr>
        <w:shd w:val="clear" w:color="auto" w:fill="FFFFFF"/>
        <w:suppressAutoHyphens/>
        <w:spacing w:after="0" w:line="240" w:lineRule="auto"/>
        <w:jc w:val="center"/>
        <w:rPr>
          <w:rFonts w:ascii="Times New Roman" w:hAnsi="Times New Roman" w:cs="Times New Roman"/>
          <w:spacing w:val="-6"/>
          <w:sz w:val="28"/>
          <w:szCs w:val="28"/>
        </w:rPr>
      </w:pPr>
    </w:p>
    <w:p w:rsidR="00E073EF" w:rsidRPr="00E073EF" w:rsidRDefault="00E073EF" w:rsidP="00E073EF">
      <w:pPr>
        <w:shd w:val="clear" w:color="auto" w:fill="FFFFFF"/>
        <w:suppressAutoHyphens/>
        <w:spacing w:after="0" w:line="240" w:lineRule="auto"/>
        <w:jc w:val="center"/>
        <w:rPr>
          <w:rFonts w:ascii="Times New Roman" w:hAnsi="Times New Roman" w:cs="Times New Roman"/>
          <w:spacing w:val="-6"/>
          <w:sz w:val="28"/>
          <w:szCs w:val="28"/>
        </w:rPr>
      </w:pPr>
      <w:r w:rsidRPr="00E073EF">
        <w:rPr>
          <w:rFonts w:ascii="Times New Roman" w:hAnsi="Times New Roman" w:cs="Times New Roman"/>
          <w:spacing w:val="-6"/>
          <w:sz w:val="28"/>
          <w:szCs w:val="28"/>
        </w:rPr>
        <w:t>Направление подготовки</w:t>
      </w:r>
    </w:p>
    <w:p w:rsidR="00E073EF" w:rsidRPr="00E073EF" w:rsidRDefault="00E073EF" w:rsidP="00E073EF">
      <w:pPr>
        <w:shd w:val="clear" w:color="auto" w:fill="FFFFFF"/>
        <w:suppressAutoHyphens/>
        <w:spacing w:after="0" w:line="240" w:lineRule="auto"/>
        <w:jc w:val="center"/>
        <w:rPr>
          <w:rFonts w:ascii="Times New Roman" w:hAnsi="Times New Roman" w:cs="Times New Roman"/>
          <w:spacing w:val="-6"/>
          <w:sz w:val="28"/>
          <w:szCs w:val="28"/>
        </w:rPr>
      </w:pPr>
      <w:r w:rsidRPr="00E073EF">
        <w:rPr>
          <w:rFonts w:ascii="Times New Roman" w:hAnsi="Times New Roman" w:cs="Times New Roman"/>
          <w:bCs/>
          <w:sz w:val="28"/>
          <w:szCs w:val="28"/>
        </w:rPr>
        <w:t>38.04.02 МЕНЕДЖМЕНТ</w:t>
      </w:r>
    </w:p>
    <w:p w:rsidR="00E073EF" w:rsidRDefault="00E073EF" w:rsidP="00E073EF">
      <w:pPr>
        <w:shd w:val="clear" w:color="auto" w:fill="FFFFFF"/>
        <w:suppressAutoHyphens/>
        <w:spacing w:after="0" w:line="240" w:lineRule="auto"/>
        <w:jc w:val="center"/>
        <w:rPr>
          <w:rFonts w:ascii="Times New Roman" w:hAnsi="Times New Roman" w:cs="Times New Roman"/>
          <w:sz w:val="28"/>
          <w:szCs w:val="28"/>
        </w:rPr>
      </w:pPr>
    </w:p>
    <w:p w:rsidR="00E073EF" w:rsidRPr="00E073EF" w:rsidRDefault="00E073EF" w:rsidP="00E073EF">
      <w:pPr>
        <w:shd w:val="clear" w:color="auto" w:fill="FFFFFF"/>
        <w:suppressAutoHyphens/>
        <w:spacing w:after="0" w:line="240" w:lineRule="auto"/>
        <w:jc w:val="center"/>
        <w:rPr>
          <w:rFonts w:ascii="Times New Roman" w:hAnsi="Times New Roman" w:cs="Times New Roman"/>
          <w:sz w:val="28"/>
          <w:szCs w:val="28"/>
        </w:rPr>
      </w:pPr>
    </w:p>
    <w:p w:rsidR="00E073EF" w:rsidRDefault="00E073EF" w:rsidP="00E073EF">
      <w:pPr>
        <w:shd w:val="clear" w:color="auto" w:fill="FFFFFF"/>
        <w:suppressAutoHyphens/>
        <w:spacing w:after="0" w:line="240" w:lineRule="auto"/>
        <w:jc w:val="center"/>
        <w:rPr>
          <w:rFonts w:ascii="Times New Roman" w:hAnsi="Times New Roman" w:cs="Times New Roman"/>
          <w:sz w:val="28"/>
          <w:szCs w:val="28"/>
        </w:rPr>
      </w:pPr>
    </w:p>
    <w:p w:rsidR="00E073EF" w:rsidRPr="00E073EF" w:rsidRDefault="00E073EF" w:rsidP="00E073EF">
      <w:pPr>
        <w:shd w:val="clear" w:color="auto" w:fill="FFFFFF"/>
        <w:suppressAutoHyphens/>
        <w:spacing w:after="0" w:line="240" w:lineRule="auto"/>
        <w:jc w:val="center"/>
        <w:rPr>
          <w:rFonts w:ascii="Times New Roman" w:hAnsi="Times New Roman" w:cs="Times New Roman"/>
          <w:sz w:val="28"/>
          <w:szCs w:val="28"/>
        </w:rPr>
      </w:pPr>
      <w:r w:rsidRPr="00E073EF">
        <w:rPr>
          <w:rFonts w:ascii="Times New Roman" w:hAnsi="Times New Roman" w:cs="Times New Roman"/>
          <w:sz w:val="28"/>
          <w:szCs w:val="28"/>
        </w:rPr>
        <w:t xml:space="preserve">Магистерская программа </w:t>
      </w:r>
    </w:p>
    <w:p w:rsidR="00E073EF" w:rsidRPr="00E073EF" w:rsidRDefault="00E073EF" w:rsidP="00E073EF">
      <w:pPr>
        <w:shd w:val="clear" w:color="auto" w:fill="FFFFFF"/>
        <w:suppressAutoHyphens/>
        <w:spacing w:after="0" w:line="240" w:lineRule="auto"/>
        <w:jc w:val="center"/>
        <w:rPr>
          <w:rFonts w:ascii="Times New Roman" w:hAnsi="Times New Roman" w:cs="Times New Roman"/>
          <w:sz w:val="28"/>
          <w:szCs w:val="28"/>
        </w:rPr>
      </w:pPr>
      <w:r w:rsidRPr="00E073EF">
        <w:rPr>
          <w:rFonts w:ascii="Times New Roman" w:hAnsi="Times New Roman" w:cs="Times New Roman"/>
          <w:sz w:val="28"/>
          <w:szCs w:val="28"/>
        </w:rPr>
        <w:t>Стратегическое и корпоративное управление</w:t>
      </w:r>
    </w:p>
    <w:p w:rsidR="00E073EF" w:rsidRPr="00E073EF" w:rsidRDefault="00E073EF" w:rsidP="00E073EF">
      <w:pPr>
        <w:shd w:val="clear" w:color="auto" w:fill="FFFFFF"/>
        <w:suppressAutoHyphens/>
        <w:spacing w:after="0" w:line="240" w:lineRule="auto"/>
        <w:jc w:val="center"/>
        <w:rPr>
          <w:rFonts w:ascii="Times New Roman" w:hAnsi="Times New Roman" w:cs="Times New Roman"/>
          <w:b/>
          <w:bCs/>
          <w:spacing w:val="-8"/>
          <w:sz w:val="28"/>
          <w:szCs w:val="28"/>
        </w:rPr>
      </w:pPr>
    </w:p>
    <w:p w:rsidR="00E073EF" w:rsidRDefault="00E073EF" w:rsidP="00E073EF">
      <w:pPr>
        <w:shd w:val="clear" w:color="auto" w:fill="FFFFFF"/>
        <w:suppressAutoHyphens/>
        <w:spacing w:after="0" w:line="240" w:lineRule="auto"/>
        <w:jc w:val="center"/>
        <w:rPr>
          <w:rFonts w:ascii="Times New Roman" w:hAnsi="Times New Roman" w:cs="Times New Roman"/>
          <w:sz w:val="28"/>
          <w:szCs w:val="28"/>
        </w:rPr>
      </w:pPr>
    </w:p>
    <w:p w:rsidR="00E073EF" w:rsidRPr="00E073EF" w:rsidRDefault="00E073EF" w:rsidP="00E073EF">
      <w:pPr>
        <w:shd w:val="clear" w:color="auto" w:fill="FFFFFF"/>
        <w:suppressAutoHyphens/>
        <w:spacing w:after="0" w:line="240" w:lineRule="auto"/>
        <w:jc w:val="center"/>
        <w:rPr>
          <w:rFonts w:ascii="Times New Roman" w:hAnsi="Times New Roman" w:cs="Times New Roman"/>
          <w:sz w:val="28"/>
          <w:szCs w:val="28"/>
        </w:rPr>
      </w:pPr>
    </w:p>
    <w:p w:rsidR="00E073EF" w:rsidRPr="00E073EF" w:rsidRDefault="00E073EF" w:rsidP="00E073EF">
      <w:pPr>
        <w:shd w:val="clear" w:color="auto" w:fill="FFFFFF"/>
        <w:suppressAutoHyphens/>
        <w:spacing w:after="0" w:line="240" w:lineRule="auto"/>
        <w:jc w:val="center"/>
        <w:rPr>
          <w:rFonts w:ascii="Times New Roman" w:hAnsi="Times New Roman" w:cs="Times New Roman"/>
          <w:spacing w:val="-7"/>
          <w:sz w:val="28"/>
          <w:szCs w:val="28"/>
        </w:rPr>
      </w:pPr>
      <w:r w:rsidRPr="00E073EF">
        <w:rPr>
          <w:rFonts w:ascii="Times New Roman" w:hAnsi="Times New Roman" w:cs="Times New Roman"/>
          <w:spacing w:val="-7"/>
          <w:sz w:val="28"/>
          <w:szCs w:val="28"/>
        </w:rPr>
        <w:t>Форма обучения очная</w:t>
      </w:r>
    </w:p>
    <w:p w:rsidR="00E073EF" w:rsidRPr="00E073EF" w:rsidRDefault="00E073EF" w:rsidP="00E073EF">
      <w:pPr>
        <w:tabs>
          <w:tab w:val="left" w:pos="900"/>
          <w:tab w:val="left" w:pos="1080"/>
        </w:tabs>
        <w:suppressAutoHyphens/>
        <w:spacing w:after="0" w:line="240" w:lineRule="auto"/>
        <w:ind w:firstLine="567"/>
        <w:jc w:val="right"/>
        <w:rPr>
          <w:rFonts w:ascii="Times New Roman" w:hAnsi="Times New Roman" w:cs="Times New Roman"/>
          <w:color w:val="000000"/>
          <w:sz w:val="28"/>
          <w:szCs w:val="28"/>
        </w:rPr>
      </w:pPr>
    </w:p>
    <w:p w:rsidR="00E073EF" w:rsidRDefault="00E073EF" w:rsidP="00E073EF">
      <w:pPr>
        <w:tabs>
          <w:tab w:val="left" w:pos="900"/>
          <w:tab w:val="left" w:pos="1080"/>
        </w:tabs>
        <w:suppressAutoHyphens/>
        <w:spacing w:after="0" w:line="240" w:lineRule="auto"/>
        <w:ind w:firstLine="567"/>
        <w:jc w:val="right"/>
        <w:rPr>
          <w:rFonts w:ascii="Times New Roman" w:hAnsi="Times New Roman" w:cs="Times New Roman"/>
          <w:color w:val="000000"/>
          <w:sz w:val="28"/>
          <w:szCs w:val="28"/>
        </w:rPr>
      </w:pPr>
    </w:p>
    <w:p w:rsidR="00E073EF" w:rsidRDefault="00E073EF" w:rsidP="00E073EF">
      <w:pPr>
        <w:tabs>
          <w:tab w:val="left" w:pos="900"/>
          <w:tab w:val="left" w:pos="1080"/>
        </w:tabs>
        <w:suppressAutoHyphens/>
        <w:spacing w:after="0" w:line="240" w:lineRule="auto"/>
        <w:ind w:firstLine="567"/>
        <w:jc w:val="right"/>
        <w:rPr>
          <w:rFonts w:ascii="Times New Roman" w:hAnsi="Times New Roman" w:cs="Times New Roman"/>
          <w:color w:val="000000"/>
          <w:sz w:val="28"/>
          <w:szCs w:val="28"/>
        </w:rPr>
      </w:pPr>
    </w:p>
    <w:p w:rsidR="00E073EF" w:rsidRPr="00E073EF" w:rsidRDefault="00E073EF" w:rsidP="00E073EF">
      <w:pPr>
        <w:tabs>
          <w:tab w:val="left" w:pos="900"/>
          <w:tab w:val="left" w:pos="1080"/>
        </w:tabs>
        <w:suppressAutoHyphens/>
        <w:spacing w:after="0" w:line="240" w:lineRule="auto"/>
        <w:ind w:firstLine="567"/>
        <w:jc w:val="right"/>
        <w:rPr>
          <w:rFonts w:ascii="Times New Roman" w:hAnsi="Times New Roman" w:cs="Times New Roman"/>
          <w:color w:val="000000"/>
          <w:sz w:val="28"/>
          <w:szCs w:val="28"/>
        </w:rPr>
      </w:pPr>
      <w:r w:rsidRPr="00E073EF">
        <w:rPr>
          <w:rFonts w:ascii="Times New Roman" w:hAnsi="Times New Roman" w:cs="Times New Roman"/>
          <w:color w:val="000000"/>
          <w:sz w:val="28"/>
          <w:szCs w:val="28"/>
        </w:rPr>
        <w:t>Обучающийся</w:t>
      </w:r>
    </w:p>
    <w:p w:rsidR="00E073EF" w:rsidRPr="00E073EF" w:rsidRDefault="00E073EF" w:rsidP="00E073EF">
      <w:pPr>
        <w:pStyle w:val="a6"/>
        <w:tabs>
          <w:tab w:val="left" w:pos="900"/>
          <w:tab w:val="left" w:pos="1080"/>
          <w:tab w:val="left" w:pos="7020"/>
        </w:tabs>
        <w:suppressAutoHyphens/>
        <w:ind w:firstLine="0"/>
        <w:jc w:val="right"/>
        <w:rPr>
          <w:rFonts w:ascii="Times New Roman" w:hAnsi="Times New Roman"/>
          <w:sz w:val="28"/>
          <w:szCs w:val="28"/>
          <w:vertAlign w:val="superscript"/>
          <w:lang w:val="ru-RU"/>
        </w:rPr>
      </w:pPr>
      <w:r w:rsidRPr="00E073EF">
        <w:rPr>
          <w:rFonts w:ascii="Times New Roman" w:hAnsi="Times New Roman"/>
          <w:sz w:val="28"/>
          <w:szCs w:val="28"/>
          <w:lang w:val="ru-RU"/>
        </w:rPr>
        <w:t>Михеев Алексей Сергеевич</w:t>
      </w:r>
    </w:p>
    <w:p w:rsidR="00E073EF" w:rsidRPr="00E073EF" w:rsidRDefault="00E073EF" w:rsidP="00E073EF">
      <w:pPr>
        <w:tabs>
          <w:tab w:val="left" w:pos="900"/>
          <w:tab w:val="left" w:pos="1080"/>
        </w:tabs>
        <w:suppressAutoHyphens/>
        <w:spacing w:after="0" w:line="240" w:lineRule="auto"/>
        <w:ind w:firstLine="567"/>
        <w:jc w:val="right"/>
        <w:rPr>
          <w:rFonts w:ascii="Times New Roman" w:hAnsi="Times New Roman" w:cs="Times New Roman"/>
          <w:color w:val="000000"/>
          <w:sz w:val="28"/>
          <w:szCs w:val="28"/>
        </w:rPr>
      </w:pPr>
    </w:p>
    <w:p w:rsidR="00E073EF" w:rsidRPr="00E073EF" w:rsidRDefault="00E073EF" w:rsidP="00E073EF">
      <w:pPr>
        <w:pStyle w:val="a6"/>
        <w:tabs>
          <w:tab w:val="left" w:pos="900"/>
          <w:tab w:val="left" w:pos="1080"/>
          <w:tab w:val="left" w:pos="7020"/>
        </w:tabs>
        <w:suppressAutoHyphens/>
        <w:ind w:firstLine="0"/>
        <w:rPr>
          <w:rFonts w:ascii="Times New Roman" w:hAnsi="Times New Roman"/>
          <w:b/>
          <w:sz w:val="28"/>
          <w:szCs w:val="28"/>
        </w:rPr>
      </w:pPr>
      <w:r w:rsidRPr="00E073EF">
        <w:rPr>
          <w:rFonts w:ascii="Times New Roman" w:hAnsi="Times New Roman"/>
          <w:b/>
          <w:sz w:val="28"/>
          <w:szCs w:val="28"/>
        </w:rPr>
        <w:t xml:space="preserve">Руководитель: </w:t>
      </w:r>
    </w:p>
    <w:p w:rsidR="00E073EF" w:rsidRPr="00E073EF" w:rsidRDefault="00E073EF" w:rsidP="00E073EF">
      <w:pPr>
        <w:pStyle w:val="a6"/>
        <w:tabs>
          <w:tab w:val="left" w:pos="900"/>
          <w:tab w:val="left" w:pos="1080"/>
          <w:tab w:val="left" w:pos="7020"/>
        </w:tabs>
        <w:suppressAutoHyphens/>
        <w:ind w:firstLine="0"/>
        <w:rPr>
          <w:rFonts w:ascii="Times New Roman" w:hAnsi="Times New Roman"/>
          <w:sz w:val="28"/>
          <w:szCs w:val="28"/>
        </w:rPr>
      </w:pPr>
      <w:r w:rsidRPr="00E073EF">
        <w:rPr>
          <w:rFonts w:ascii="Times New Roman" w:hAnsi="Times New Roman"/>
          <w:sz w:val="28"/>
          <w:szCs w:val="28"/>
          <w:lang w:val="ru-RU"/>
        </w:rPr>
        <w:t>Мошкова Л.Е.</w:t>
      </w:r>
      <w:r w:rsidRPr="00E073EF">
        <w:rPr>
          <w:rFonts w:ascii="Times New Roman" w:hAnsi="Times New Roman"/>
          <w:sz w:val="28"/>
          <w:szCs w:val="28"/>
        </w:rPr>
        <w:t>, д.э.н., доцент</w:t>
      </w:r>
    </w:p>
    <w:p w:rsidR="00E073EF" w:rsidRDefault="00E073EF" w:rsidP="00E073EF">
      <w:pPr>
        <w:shd w:val="clear" w:color="auto" w:fill="FFFFFF"/>
        <w:spacing w:after="0" w:line="240" w:lineRule="auto"/>
        <w:jc w:val="center"/>
        <w:rPr>
          <w:rFonts w:ascii="Times New Roman" w:hAnsi="Times New Roman" w:cs="Times New Roman"/>
          <w:color w:val="000000"/>
          <w:spacing w:val="-1"/>
          <w:sz w:val="28"/>
          <w:szCs w:val="28"/>
        </w:rPr>
      </w:pPr>
    </w:p>
    <w:p w:rsidR="00E073EF" w:rsidRDefault="00E073EF" w:rsidP="00E073EF">
      <w:pPr>
        <w:shd w:val="clear" w:color="auto" w:fill="FFFFFF"/>
        <w:spacing w:after="0" w:line="240" w:lineRule="auto"/>
        <w:jc w:val="center"/>
        <w:rPr>
          <w:rFonts w:ascii="Times New Roman" w:hAnsi="Times New Roman" w:cs="Times New Roman"/>
          <w:color w:val="000000"/>
          <w:spacing w:val="-1"/>
          <w:sz w:val="28"/>
          <w:szCs w:val="28"/>
        </w:rPr>
      </w:pPr>
    </w:p>
    <w:p w:rsidR="00E073EF" w:rsidRDefault="00E073EF" w:rsidP="00E073EF">
      <w:pPr>
        <w:shd w:val="clear" w:color="auto" w:fill="FFFFFF"/>
        <w:spacing w:after="0" w:line="240" w:lineRule="auto"/>
        <w:jc w:val="center"/>
        <w:rPr>
          <w:rFonts w:ascii="Times New Roman" w:hAnsi="Times New Roman" w:cs="Times New Roman"/>
          <w:color w:val="000000"/>
          <w:spacing w:val="-1"/>
          <w:sz w:val="28"/>
          <w:szCs w:val="28"/>
        </w:rPr>
      </w:pPr>
    </w:p>
    <w:p w:rsidR="00E073EF" w:rsidRDefault="00E073EF" w:rsidP="00E073EF">
      <w:pPr>
        <w:shd w:val="clear" w:color="auto" w:fill="FFFFFF"/>
        <w:spacing w:after="0" w:line="240" w:lineRule="auto"/>
        <w:jc w:val="center"/>
        <w:rPr>
          <w:rFonts w:ascii="Times New Roman" w:hAnsi="Times New Roman" w:cs="Times New Roman"/>
          <w:color w:val="000000"/>
          <w:spacing w:val="-1"/>
          <w:sz w:val="28"/>
          <w:szCs w:val="28"/>
        </w:rPr>
      </w:pPr>
    </w:p>
    <w:p w:rsidR="008E145D" w:rsidRDefault="008E145D" w:rsidP="00E073EF">
      <w:pPr>
        <w:shd w:val="clear" w:color="auto" w:fill="FFFFFF"/>
        <w:spacing w:after="0" w:line="240" w:lineRule="auto"/>
        <w:jc w:val="center"/>
        <w:rPr>
          <w:rFonts w:ascii="Times New Roman" w:hAnsi="Times New Roman" w:cs="Times New Roman"/>
          <w:color w:val="000000"/>
          <w:spacing w:val="-1"/>
          <w:sz w:val="28"/>
          <w:szCs w:val="28"/>
        </w:rPr>
      </w:pPr>
    </w:p>
    <w:p w:rsidR="00E073EF" w:rsidRDefault="00E073EF" w:rsidP="00E073EF">
      <w:pPr>
        <w:shd w:val="clear" w:color="auto" w:fill="FFFFFF"/>
        <w:spacing w:after="0" w:line="240" w:lineRule="auto"/>
        <w:jc w:val="center"/>
        <w:rPr>
          <w:rFonts w:ascii="Times New Roman" w:hAnsi="Times New Roman" w:cs="Times New Roman"/>
          <w:color w:val="000000"/>
          <w:spacing w:val="-1"/>
          <w:sz w:val="28"/>
          <w:szCs w:val="28"/>
        </w:rPr>
      </w:pPr>
    </w:p>
    <w:p w:rsidR="00E073EF" w:rsidRPr="00E073EF" w:rsidRDefault="00E073EF" w:rsidP="00E073EF">
      <w:pPr>
        <w:shd w:val="clear" w:color="auto" w:fill="FFFFFF"/>
        <w:spacing w:after="0" w:line="240" w:lineRule="auto"/>
        <w:jc w:val="center"/>
        <w:rPr>
          <w:rFonts w:ascii="Times New Roman" w:hAnsi="Times New Roman" w:cs="Times New Roman"/>
          <w:color w:val="000000"/>
          <w:spacing w:val="-1"/>
          <w:sz w:val="28"/>
          <w:szCs w:val="28"/>
        </w:rPr>
      </w:pPr>
      <w:r w:rsidRPr="00E073EF">
        <w:rPr>
          <w:rFonts w:ascii="Times New Roman" w:hAnsi="Times New Roman" w:cs="Times New Roman"/>
          <w:color w:val="000000"/>
          <w:spacing w:val="-1"/>
          <w:sz w:val="28"/>
          <w:szCs w:val="28"/>
        </w:rPr>
        <w:t>Тверь 2017</w:t>
      </w:r>
    </w:p>
    <w:sdt>
      <w:sdtPr>
        <w:rPr>
          <w:rFonts w:asciiTheme="minorHAnsi" w:eastAsiaTheme="minorEastAsia" w:hAnsiTheme="minorHAnsi" w:cs="Times New Roman"/>
          <w:color w:val="auto"/>
          <w:sz w:val="22"/>
          <w:szCs w:val="22"/>
        </w:rPr>
        <w:id w:val="-1768149886"/>
        <w:docPartObj>
          <w:docPartGallery w:val="Table of Contents"/>
          <w:docPartUnique/>
        </w:docPartObj>
      </w:sdtPr>
      <w:sdtEndPr/>
      <w:sdtContent>
        <w:p w:rsidR="00B96FBC" w:rsidRDefault="00E073EF" w:rsidP="00E073EF">
          <w:pPr>
            <w:pStyle w:val="a8"/>
            <w:jc w:val="center"/>
            <w:rPr>
              <w:rFonts w:ascii="Times New Roman" w:hAnsi="Times New Roman" w:cs="Times New Roman"/>
              <w:b/>
              <w:color w:val="auto"/>
              <w:sz w:val="28"/>
              <w:szCs w:val="28"/>
            </w:rPr>
          </w:pPr>
          <w:r w:rsidRPr="00E073EF">
            <w:rPr>
              <w:rFonts w:ascii="Times New Roman" w:hAnsi="Times New Roman" w:cs="Times New Roman"/>
              <w:b/>
              <w:color w:val="auto"/>
              <w:sz w:val="28"/>
              <w:szCs w:val="28"/>
            </w:rPr>
            <w:t>СОДЕРЖАНИЕ</w:t>
          </w:r>
        </w:p>
        <w:p w:rsidR="00E073EF" w:rsidRPr="00E073EF" w:rsidRDefault="00E073EF" w:rsidP="00E073EF">
          <w:pPr>
            <w:rPr>
              <w:lang w:eastAsia="ru-RU"/>
            </w:rPr>
          </w:pPr>
        </w:p>
        <w:p w:rsidR="00B96FBC" w:rsidRPr="00E073EF" w:rsidRDefault="00FB40D3">
          <w:pPr>
            <w:pStyle w:val="12"/>
            <w:rPr>
              <w:rFonts w:ascii="Times New Roman" w:hAnsi="Times New Roman"/>
              <w:sz w:val="28"/>
              <w:szCs w:val="28"/>
            </w:rPr>
          </w:pPr>
          <w:r w:rsidRPr="00E073EF">
            <w:rPr>
              <w:rFonts w:ascii="Times New Roman" w:hAnsi="Times New Roman"/>
              <w:sz w:val="28"/>
              <w:szCs w:val="28"/>
            </w:rPr>
            <w:t xml:space="preserve">1. </w:t>
          </w:r>
          <w:r w:rsidR="00B96FBC" w:rsidRPr="00E073EF">
            <w:rPr>
              <w:rFonts w:ascii="Times New Roman" w:hAnsi="Times New Roman"/>
              <w:sz w:val="28"/>
              <w:szCs w:val="28"/>
            </w:rPr>
            <w:t xml:space="preserve">Сбор и обработка данных для написания первой главы магистерской диссертации на тему: «Государственно – частное партнёрство: зарубежный опыт и его использование в Российских организациях» </w:t>
          </w:r>
          <w:r w:rsidR="00B96FBC" w:rsidRPr="00E073EF">
            <w:rPr>
              <w:rFonts w:ascii="Times New Roman" w:hAnsi="Times New Roman"/>
              <w:sz w:val="28"/>
              <w:szCs w:val="28"/>
            </w:rPr>
            <w:ptab w:relativeTo="margin" w:alignment="right" w:leader="dot"/>
          </w:r>
          <w:r w:rsidR="00B96FBC" w:rsidRPr="00E073EF">
            <w:rPr>
              <w:rFonts w:ascii="Times New Roman" w:hAnsi="Times New Roman"/>
              <w:bCs/>
              <w:sz w:val="28"/>
              <w:szCs w:val="28"/>
            </w:rPr>
            <w:t>3</w:t>
          </w:r>
        </w:p>
        <w:p w:rsidR="00B96FBC" w:rsidRPr="00E073EF" w:rsidRDefault="00B96FBC" w:rsidP="00B96FBC">
          <w:pPr>
            <w:pStyle w:val="2"/>
            <w:ind w:left="0"/>
            <w:rPr>
              <w:rFonts w:ascii="Times New Roman" w:hAnsi="Times New Roman"/>
              <w:sz w:val="28"/>
              <w:szCs w:val="28"/>
            </w:rPr>
          </w:pPr>
          <w:r w:rsidRPr="00E073EF">
            <w:rPr>
              <w:rFonts w:ascii="Times New Roman" w:hAnsi="Times New Roman"/>
              <w:sz w:val="28"/>
              <w:szCs w:val="28"/>
            </w:rPr>
            <w:t xml:space="preserve">1.1 Зарубежная практика </w:t>
          </w:r>
          <w:r w:rsidRPr="00E073EF">
            <w:rPr>
              <w:rFonts w:ascii="Times New Roman" w:hAnsi="Times New Roman"/>
              <w:sz w:val="28"/>
              <w:szCs w:val="28"/>
            </w:rPr>
            <w:ptab w:relativeTo="margin" w:alignment="right" w:leader="dot"/>
          </w:r>
          <w:r w:rsidRPr="00E073EF">
            <w:rPr>
              <w:rFonts w:ascii="Times New Roman" w:hAnsi="Times New Roman"/>
              <w:sz w:val="28"/>
              <w:szCs w:val="28"/>
            </w:rPr>
            <w:t>3</w:t>
          </w:r>
        </w:p>
        <w:p w:rsidR="00B96FBC" w:rsidRPr="00E073EF" w:rsidRDefault="00B96FBC" w:rsidP="00B96FBC">
          <w:pPr>
            <w:pStyle w:val="31"/>
            <w:ind w:left="0"/>
            <w:rPr>
              <w:rFonts w:ascii="Times New Roman" w:hAnsi="Times New Roman" w:cs="Times New Roman"/>
              <w:sz w:val="28"/>
              <w:szCs w:val="28"/>
            </w:rPr>
          </w:pPr>
          <w:r w:rsidRPr="00E073EF">
            <w:rPr>
              <w:rFonts w:ascii="Times New Roman" w:hAnsi="Times New Roman" w:cs="Times New Roman"/>
              <w:sz w:val="28"/>
              <w:szCs w:val="28"/>
            </w:rPr>
            <w:t xml:space="preserve">1.2 Российские перспективы </w:t>
          </w:r>
          <w:r w:rsidRPr="00E073EF">
            <w:rPr>
              <w:rFonts w:ascii="Times New Roman" w:hAnsi="Times New Roman" w:cs="Times New Roman"/>
              <w:sz w:val="28"/>
              <w:szCs w:val="28"/>
            </w:rPr>
            <w:ptab w:relativeTo="margin" w:alignment="right" w:leader="dot"/>
          </w:r>
          <w:r w:rsidRPr="00E073EF">
            <w:rPr>
              <w:rFonts w:ascii="Times New Roman" w:hAnsi="Times New Roman" w:cs="Times New Roman"/>
              <w:sz w:val="28"/>
              <w:szCs w:val="28"/>
            </w:rPr>
            <w:t>5</w:t>
          </w:r>
        </w:p>
        <w:p w:rsidR="00B96FBC" w:rsidRPr="00E073EF" w:rsidRDefault="00B96FBC" w:rsidP="00B96FBC">
          <w:pPr>
            <w:pStyle w:val="12"/>
          </w:pPr>
          <w:r w:rsidRPr="00E073EF">
            <w:rPr>
              <w:rFonts w:ascii="Times New Roman" w:hAnsi="Times New Roman"/>
              <w:bCs/>
              <w:sz w:val="28"/>
              <w:szCs w:val="28"/>
            </w:rPr>
            <w:t>Библиографический список</w:t>
          </w:r>
          <w:r w:rsidRPr="00E073EF">
            <w:rPr>
              <w:rFonts w:ascii="Times New Roman" w:hAnsi="Times New Roman"/>
              <w:sz w:val="28"/>
              <w:szCs w:val="28"/>
            </w:rPr>
            <w:ptab w:relativeTo="margin" w:alignment="right" w:leader="dot"/>
          </w:r>
          <w:r w:rsidRPr="00E073EF">
            <w:rPr>
              <w:rFonts w:ascii="Times New Roman" w:hAnsi="Times New Roman"/>
              <w:bCs/>
              <w:sz w:val="28"/>
              <w:szCs w:val="28"/>
            </w:rPr>
            <w:t>10</w:t>
          </w:r>
        </w:p>
      </w:sdtContent>
    </w:sdt>
    <w:p w:rsidR="00910934" w:rsidRDefault="00910934" w:rsidP="002B632B">
      <w:pPr>
        <w:spacing w:after="0" w:line="360" w:lineRule="auto"/>
        <w:jc w:val="center"/>
        <w:rPr>
          <w:rFonts w:ascii="Times New Roman" w:hAnsi="Times New Roman" w:cs="Times New Roman"/>
          <w:b/>
          <w:sz w:val="28"/>
          <w:szCs w:val="28"/>
        </w:rPr>
      </w:pPr>
    </w:p>
    <w:p w:rsidR="002B632B" w:rsidRPr="00F5246C" w:rsidRDefault="00910934" w:rsidP="00F5246C">
      <w:pPr>
        <w:spacing w:line="259" w:lineRule="auto"/>
        <w:rPr>
          <w:rFonts w:ascii="Times New Roman" w:hAnsi="Times New Roman" w:cs="Times New Roman"/>
          <w:b/>
          <w:sz w:val="28"/>
          <w:szCs w:val="28"/>
        </w:rPr>
      </w:pPr>
      <w:r>
        <w:rPr>
          <w:rFonts w:ascii="Times New Roman" w:hAnsi="Times New Roman" w:cs="Times New Roman"/>
          <w:b/>
          <w:sz w:val="28"/>
          <w:szCs w:val="28"/>
        </w:rPr>
        <w:br w:type="page"/>
      </w:r>
    </w:p>
    <w:p w:rsidR="00F5246C" w:rsidRPr="00F5246C" w:rsidRDefault="00FB40D3" w:rsidP="00E073EF">
      <w:pPr>
        <w:pStyle w:val="3"/>
        <w:spacing w:line="360" w:lineRule="auto"/>
        <w:ind w:firstLine="709"/>
        <w:jc w:val="left"/>
        <w:rPr>
          <w:b/>
          <w:lang w:val="ru-RU"/>
        </w:rPr>
      </w:pPr>
      <w:r>
        <w:rPr>
          <w:b/>
          <w:lang w:val="ru-RU"/>
        </w:rPr>
        <w:lastRenderedPageBreak/>
        <w:t xml:space="preserve">1. </w:t>
      </w:r>
      <w:r w:rsidR="00F5246C" w:rsidRPr="00F5246C">
        <w:rPr>
          <w:b/>
        </w:rPr>
        <w:t xml:space="preserve">Сбор и обработка данных для написания первой главы магистерской диссертации на тему: </w:t>
      </w:r>
      <w:r w:rsidR="00F5246C" w:rsidRPr="00F5246C">
        <w:rPr>
          <w:b/>
          <w:lang w:val="ru-RU"/>
        </w:rPr>
        <w:t>«</w:t>
      </w:r>
      <w:r w:rsidR="00F5246C" w:rsidRPr="00F5246C">
        <w:rPr>
          <w:b/>
        </w:rPr>
        <w:t>Государственно – частное партнёрство: зарубежный опыт и его использование в Российских организациях</w:t>
      </w:r>
      <w:r w:rsidR="00F5246C" w:rsidRPr="00F5246C">
        <w:rPr>
          <w:b/>
          <w:lang w:val="ru-RU"/>
        </w:rPr>
        <w:t>»</w:t>
      </w:r>
    </w:p>
    <w:p w:rsidR="00910934" w:rsidRPr="00E073EF" w:rsidRDefault="00910934" w:rsidP="00E073EF">
      <w:pPr>
        <w:pStyle w:val="11"/>
        <w:spacing w:before="0" w:beforeAutospacing="0" w:after="0" w:afterAutospacing="0"/>
        <w:ind w:firstLine="709"/>
        <w:jc w:val="left"/>
      </w:pPr>
      <w:r w:rsidRPr="00E073EF">
        <w:t>1.1 Зарубежная практика</w:t>
      </w:r>
    </w:p>
    <w:p w:rsidR="002B632B" w:rsidRPr="00910934" w:rsidRDefault="002B632B" w:rsidP="00910934">
      <w:pPr>
        <w:spacing w:before="100" w:beforeAutospacing="1" w:after="100" w:afterAutospacing="1" w:line="360" w:lineRule="auto"/>
        <w:ind w:firstLine="709"/>
        <w:jc w:val="both"/>
        <w:rPr>
          <w:rFonts w:ascii="Times New Roman" w:hAnsi="Times New Roman" w:cs="Times New Roman"/>
          <w:sz w:val="28"/>
          <w:szCs w:val="28"/>
        </w:rPr>
      </w:pPr>
      <w:r w:rsidRPr="00910934">
        <w:rPr>
          <w:rFonts w:ascii="Times New Roman" w:hAnsi="Times New Roman" w:cs="Times New Roman"/>
          <w:sz w:val="28"/>
          <w:szCs w:val="28"/>
        </w:rPr>
        <w:t>Термин «государственно-частное партнерство» появился в начале 80-х годов ХХ в. для характеристики особых отношений между государством и частным сектором. Как правило, эти отношения складывались и развивались в сфере производственной и социальной инфраструктуры. Это касалось автомобильных и железных дорог, аэропортов, морских портов, энергетических сетей, коммунального хозяйства, телекоммуникаций, объектов образования, здравоохранения и культуры. Характерно, что возникновение такого рода отношений стало следствием общего курса на либерализацию и сокращение государственного участия в экономике. Среди всего многообразия операций ГЧП можно условно выделить основные подходы к изучению ГЧП: - как особый тип управления – «новое государственное управление» (New Public Management) или способ организации «хорошего государственного управления» (Good Governance); - как особая форма соглашений, заключаемых между бизнесом и властью относительно финансовых средств (институциональный подход); - как стратегия или инструмент развития и модернизации экономики; - как «игра слов» в политических целях, где за понятием ГЧП скрываются различные, ранее уже существующие, формы взаимодействия бизнеса (термин «Государственно-частное партнерство» призван придать им вид новых инструментов развития общества)</w:t>
      </w:r>
      <w:r w:rsidRPr="00910934">
        <w:rPr>
          <w:rStyle w:val="a5"/>
          <w:rFonts w:ascii="Times New Roman" w:hAnsi="Times New Roman" w:cs="Times New Roman"/>
          <w:sz w:val="28"/>
          <w:szCs w:val="28"/>
        </w:rPr>
        <w:footnoteReference w:id="1"/>
      </w:r>
    </w:p>
    <w:p w:rsidR="002B632B" w:rsidRPr="00910934" w:rsidRDefault="002B632B" w:rsidP="00910934">
      <w:pPr>
        <w:spacing w:before="100" w:beforeAutospacing="1" w:after="100" w:afterAutospacing="1" w:line="360" w:lineRule="auto"/>
        <w:ind w:firstLine="709"/>
        <w:jc w:val="both"/>
        <w:rPr>
          <w:rFonts w:ascii="Times New Roman" w:hAnsi="Times New Roman" w:cs="Times New Roman"/>
          <w:sz w:val="28"/>
          <w:szCs w:val="28"/>
        </w:rPr>
      </w:pPr>
      <w:r w:rsidRPr="00910934">
        <w:rPr>
          <w:rFonts w:ascii="Times New Roman" w:hAnsi="Times New Roman" w:cs="Times New Roman"/>
          <w:sz w:val="28"/>
          <w:szCs w:val="28"/>
        </w:rPr>
        <w:lastRenderedPageBreak/>
        <w:t>В международных документах сущность ГЧП определяется как «форма сотрудничества между органами государственной власти и бизнесом, основной целью которой является обеспечить финансирование, сооружение, реконструкцию, управление и содержание объекта инфраструктуры или предоставление услуги»</w:t>
      </w:r>
      <w:r w:rsidRPr="00910934">
        <w:rPr>
          <w:rStyle w:val="a5"/>
          <w:rFonts w:ascii="Times New Roman" w:hAnsi="Times New Roman" w:cs="Times New Roman"/>
          <w:sz w:val="28"/>
          <w:szCs w:val="28"/>
        </w:rPr>
        <w:footnoteReference w:id="2"/>
      </w:r>
      <w:r w:rsidRPr="00910934">
        <w:rPr>
          <w:rFonts w:ascii="Times New Roman" w:hAnsi="Times New Roman" w:cs="Times New Roman"/>
          <w:sz w:val="28"/>
          <w:szCs w:val="28"/>
        </w:rPr>
        <w:t xml:space="preserve"> или как «партнерство между государственным и частным секторами с целью осуществления проекта или оказания услуги, традиционно предоставляемой государственным сектором».</w:t>
      </w:r>
      <w:r w:rsidRPr="00910934">
        <w:rPr>
          <w:rStyle w:val="a5"/>
          <w:rFonts w:ascii="Times New Roman" w:hAnsi="Times New Roman" w:cs="Times New Roman"/>
          <w:sz w:val="28"/>
          <w:szCs w:val="28"/>
        </w:rPr>
        <w:footnoteReference w:id="3"/>
      </w:r>
      <w:r w:rsidRPr="00910934">
        <w:rPr>
          <w:rFonts w:ascii="Times New Roman" w:hAnsi="Times New Roman" w:cs="Times New Roman"/>
          <w:sz w:val="28"/>
          <w:szCs w:val="28"/>
        </w:rPr>
        <w:t xml:space="preserve"> Подчеркивается, что это определенный формат взаимодействия государства и бизнеса, который «включает различные формы долгосрочных контрактов, заключенных между юридическими лицами и государственными органами»</w:t>
      </w:r>
      <w:r w:rsidRPr="00910934">
        <w:rPr>
          <w:rStyle w:val="a5"/>
          <w:rFonts w:ascii="Times New Roman" w:hAnsi="Times New Roman" w:cs="Times New Roman"/>
          <w:sz w:val="28"/>
          <w:szCs w:val="28"/>
        </w:rPr>
        <w:footnoteReference w:id="4"/>
      </w:r>
      <w:r w:rsidRPr="00910934">
        <w:rPr>
          <w:rFonts w:ascii="Times New Roman" w:hAnsi="Times New Roman" w:cs="Times New Roman"/>
          <w:sz w:val="28"/>
          <w:szCs w:val="28"/>
        </w:rPr>
        <w:t xml:space="preserve"> с целью обеспечить финансирование, планирование, исполнение и эксплуатацию объектов, производств и предоставления услуг государственного сектора.</w:t>
      </w:r>
      <w:r w:rsidRPr="00910934">
        <w:rPr>
          <w:rStyle w:val="a5"/>
          <w:rFonts w:ascii="Times New Roman" w:hAnsi="Times New Roman" w:cs="Times New Roman"/>
          <w:sz w:val="28"/>
          <w:szCs w:val="28"/>
        </w:rPr>
        <w:footnoteReference w:id="5"/>
      </w:r>
      <w:r w:rsidRPr="00910934">
        <w:rPr>
          <w:rFonts w:ascii="Times New Roman" w:hAnsi="Times New Roman" w:cs="Times New Roman"/>
          <w:sz w:val="28"/>
          <w:szCs w:val="28"/>
        </w:rPr>
        <w:t xml:space="preserve"> При этом государство определяется как «обобщающий субъект общественной власти, включающий все уровни управления – федеральные, региональные и муниципальные, и реализующий властные полномочия».</w:t>
      </w:r>
      <w:r w:rsidRPr="00910934">
        <w:rPr>
          <w:rStyle w:val="a5"/>
          <w:rFonts w:ascii="Times New Roman" w:hAnsi="Times New Roman" w:cs="Times New Roman"/>
          <w:sz w:val="28"/>
          <w:szCs w:val="28"/>
        </w:rPr>
        <w:footnoteReference w:id="6"/>
      </w:r>
    </w:p>
    <w:p w:rsidR="002B632B" w:rsidRDefault="002B632B" w:rsidP="00910934">
      <w:pPr>
        <w:spacing w:before="100" w:beforeAutospacing="1" w:after="100" w:afterAutospacing="1" w:line="360" w:lineRule="auto"/>
        <w:ind w:firstLine="709"/>
        <w:jc w:val="both"/>
        <w:rPr>
          <w:rFonts w:ascii="Times New Roman" w:hAnsi="Times New Roman" w:cs="Times New Roman"/>
          <w:sz w:val="28"/>
          <w:szCs w:val="28"/>
        </w:rPr>
      </w:pPr>
      <w:r w:rsidRPr="00910934">
        <w:rPr>
          <w:rFonts w:ascii="Times New Roman" w:hAnsi="Times New Roman" w:cs="Times New Roman"/>
          <w:sz w:val="28"/>
          <w:szCs w:val="28"/>
        </w:rPr>
        <w:t xml:space="preserve">Сейчас существует понимание того, что ГЧП способно значительно повысить конкурентоспособность инфраструктурных проектов на рынке частных инвестиций, а за счет привлечения технологий и опыта частного сектора в сфере управления и работы с потребителями ГЧП возможно заметно улучшить качество и эффективность предоставления публичных услуг. За рассматриваемый период были приняты ряд законодательных инициатив, направленных на развитие ГЧП в России. Так, в 2005 г. в России принят закон </w:t>
      </w:r>
      <w:r w:rsidRPr="00910934">
        <w:rPr>
          <w:rFonts w:ascii="Times New Roman" w:hAnsi="Times New Roman" w:cs="Times New Roman"/>
          <w:sz w:val="28"/>
          <w:szCs w:val="28"/>
        </w:rPr>
        <w:lastRenderedPageBreak/>
        <w:t>"О концессионных соглашениях", работа над которым велась более десяти лет. Принятый закон обеспечивает нормативно-правовую базу ГЧП на основании концессионных соглашений для финансирования инвестиций и модернизации российской инфраструктуры. Концессии считаются наиболее гибкой и эффективной формой ГЧП. В рамках концессии частный партнер сооружает, модернизирует и эксплуатирует объекты, сохраняемые в государственной собственности. Вместе с тем концессионер получает от государства исключительные права на выполнение работ или предоставление услуг, составляющих предмет концессии. Речь идет о проектах, имеющих стратегическое значение, и объектах, не подлежащих приватизации, таких как причалы портов, взлётно-посадочные полосы аэропортов, элементы коммунальной или энергетической инфраструктуры.  В зависимости от условий концессии государство также может регулировать и контролировать качество, объем и цены на предоставляемые потребителям услуги.</w:t>
      </w:r>
    </w:p>
    <w:p w:rsidR="00B96FBC" w:rsidRPr="00E073EF" w:rsidRDefault="00B96FBC" w:rsidP="00910934">
      <w:pPr>
        <w:spacing w:before="100" w:beforeAutospacing="1" w:after="100" w:afterAutospacing="1" w:line="360" w:lineRule="auto"/>
        <w:ind w:firstLine="709"/>
        <w:jc w:val="both"/>
        <w:rPr>
          <w:rFonts w:ascii="Times New Roman" w:hAnsi="Times New Roman" w:cs="Times New Roman"/>
          <w:b/>
          <w:sz w:val="28"/>
          <w:szCs w:val="28"/>
        </w:rPr>
      </w:pPr>
      <w:r w:rsidRPr="00E073EF">
        <w:rPr>
          <w:rFonts w:ascii="Times New Roman" w:hAnsi="Times New Roman" w:cs="Times New Roman"/>
          <w:b/>
          <w:sz w:val="28"/>
          <w:szCs w:val="28"/>
        </w:rPr>
        <w:t>1.2 Российские перспективы</w:t>
      </w:r>
    </w:p>
    <w:p w:rsidR="002B632B" w:rsidRPr="00910934" w:rsidRDefault="002B632B" w:rsidP="00910934">
      <w:pPr>
        <w:spacing w:before="100" w:beforeAutospacing="1" w:after="100" w:afterAutospacing="1" w:line="360" w:lineRule="auto"/>
        <w:ind w:firstLine="709"/>
        <w:jc w:val="both"/>
        <w:rPr>
          <w:rFonts w:ascii="Times New Roman" w:hAnsi="Times New Roman" w:cs="Times New Roman"/>
          <w:sz w:val="28"/>
          <w:szCs w:val="28"/>
        </w:rPr>
      </w:pPr>
      <w:r w:rsidRPr="00910934">
        <w:rPr>
          <w:rFonts w:ascii="Times New Roman" w:hAnsi="Times New Roman" w:cs="Times New Roman"/>
          <w:sz w:val="28"/>
          <w:szCs w:val="28"/>
        </w:rPr>
        <w:t>Мировой опыт свидетельствует, что механизм концессий наилучшим образом подходит для привлечения значительного объема внебюджетных инвестиций в инфраструктурные отрасли, однако в настоящее время существует ряд препятствий для увеличения масштабов развития концессионной формы ГЧП.</w:t>
      </w:r>
    </w:p>
    <w:p w:rsidR="002B632B" w:rsidRPr="00910934" w:rsidRDefault="002B632B" w:rsidP="00910934">
      <w:pPr>
        <w:spacing w:before="100" w:beforeAutospacing="1" w:after="100" w:afterAutospacing="1" w:line="360" w:lineRule="auto"/>
        <w:ind w:firstLine="709"/>
        <w:jc w:val="both"/>
        <w:rPr>
          <w:rFonts w:ascii="Times New Roman" w:hAnsi="Times New Roman" w:cs="Times New Roman"/>
          <w:sz w:val="28"/>
          <w:szCs w:val="28"/>
        </w:rPr>
      </w:pPr>
      <w:r w:rsidRPr="00910934">
        <w:rPr>
          <w:rFonts w:ascii="Times New Roman" w:hAnsi="Times New Roman" w:cs="Times New Roman"/>
          <w:sz w:val="28"/>
          <w:szCs w:val="28"/>
        </w:rPr>
        <w:t xml:space="preserve">В первую очередь барьеры для развития системы концессионных соглашений связаны с ограниченностью круга банков, способных предоставить финансирование в необходимых объемах и на требуемых условиях. В России к числу таких банков можно отнести Внешэкономбанк, несколько крупнейших коммерческих банков (Сбербанк, Внешторгбанк и т.п.) и ряд ведущих западных банков, специализирующихся на финансировании инфраструктурных проектов. Однако банки, как правило, не готовы дать гарантии предоставления финансирования конкретному частному </w:t>
      </w:r>
      <w:r w:rsidRPr="00910934">
        <w:rPr>
          <w:rFonts w:ascii="Times New Roman" w:hAnsi="Times New Roman" w:cs="Times New Roman"/>
          <w:sz w:val="28"/>
          <w:szCs w:val="28"/>
        </w:rPr>
        <w:lastRenderedPageBreak/>
        <w:t>консорциуму до объявления победителя конкурса, в то время как необходимым условием участия в конкурсе является подтверждение банковской гарантией стопроцентного объема долгового финансирования (как это зачастую делается в подобных конкурсах за рубежом).</w:t>
      </w:r>
    </w:p>
    <w:p w:rsidR="002B632B" w:rsidRPr="00910934" w:rsidRDefault="002B632B" w:rsidP="00910934">
      <w:pPr>
        <w:spacing w:before="100" w:beforeAutospacing="1" w:after="100" w:afterAutospacing="1" w:line="360" w:lineRule="auto"/>
        <w:ind w:firstLine="709"/>
        <w:jc w:val="both"/>
        <w:rPr>
          <w:rFonts w:ascii="Times New Roman" w:hAnsi="Times New Roman" w:cs="Times New Roman"/>
          <w:sz w:val="28"/>
          <w:szCs w:val="28"/>
        </w:rPr>
      </w:pPr>
      <w:r w:rsidRPr="00910934">
        <w:rPr>
          <w:rFonts w:ascii="Times New Roman" w:hAnsi="Times New Roman" w:cs="Times New Roman"/>
          <w:sz w:val="28"/>
          <w:szCs w:val="28"/>
        </w:rPr>
        <w:t xml:space="preserve">Безусловно, некоторое движение в направлении создания более гибкой нормативно-правовой базы для концессионных соглашений началось в июле 2008 г., когда в закон были внесены следующие поправки: a) передача прав концедента уполномоченному органу, в частности, специальному органу по ГЧП, что является положительным фактором, поскольку может упорядочить процесс реализации проекта;  б) оперативное управление объектами концессионного соглашения третьим лицом допускается после утверждения концедентом, что повышает операционную гибкость концессионера и позволяет перенести операционный риск на третье лицо, имеющее больше возможностей для принятия такого риска. Данное обстоятельство способствует оптимальному распределению риска;  в) условия компенсации расходов, понесенных в случае досрочного прекращения концессионного соглашения, могут быть включены в условия концессионного соглашения, и в случае их надлежащего формулирования это может снизить риск досрочного прекращения соглашения и обеспечить более высокий уровень прозрачности в отношении перспектив возврата долга в случае расторжения соглашения;  г) тарифы для концессий на оказание регулируемых услуг должны включать затраты на реализацию инвестиционной программы, указанной в концессионном соглашении. Это – положительный фактор с точки зрения кредитного риска, поскольку тарифы будут корректироваться таким образом, чтобы обеспечить выполнение инвестиционной программы. Кроме того, поправки вводят ряд ограничений на структуру проекта и дополнительные обязательства концессионера, в том числе: -  материальные активы не могут быть переданы в залог, что налагает ограничения на обеспечение проекта; -  в соответствии с концессионным соглашением концессионер должен </w:t>
      </w:r>
      <w:r w:rsidRPr="00910934">
        <w:rPr>
          <w:rFonts w:ascii="Times New Roman" w:hAnsi="Times New Roman" w:cs="Times New Roman"/>
          <w:sz w:val="28"/>
          <w:szCs w:val="28"/>
        </w:rPr>
        <w:lastRenderedPageBreak/>
        <w:t>представить гарантию исполнения обязательств, которая может иметь форму банковской гарантии, залога денежных средств или страхового полиса. Законом не устанавливается минимальный размер покрытия. Тем не менее, эти изменения не способны устранить все существующие препятствия на пути популяризации концессионных соглашений в России, а, следовательно, совершенствование нормативно-правовой базы концессии следует продолжать ускоренными темпами. В 2005 г. также было принято Положение «Об инвестиционном фонде», утвержденное Постановлением Правительства Российской Федерации от 23 ноября 2005 г. N 694. Инвестиционный фонд стал одним из первых, созданных на территории страны институтов развития, призванных функционировать в рамках механизма государственно-частного партнерства.</w:t>
      </w:r>
    </w:p>
    <w:p w:rsidR="002B632B" w:rsidRPr="00910934" w:rsidRDefault="002B632B" w:rsidP="00910934">
      <w:pPr>
        <w:spacing w:before="100" w:beforeAutospacing="1" w:after="100" w:afterAutospacing="1" w:line="360" w:lineRule="auto"/>
        <w:ind w:firstLine="709"/>
        <w:jc w:val="both"/>
        <w:rPr>
          <w:rFonts w:ascii="Times New Roman" w:hAnsi="Times New Roman" w:cs="Times New Roman"/>
          <w:sz w:val="28"/>
          <w:szCs w:val="28"/>
        </w:rPr>
      </w:pPr>
      <w:r w:rsidRPr="00910934">
        <w:rPr>
          <w:rFonts w:ascii="Times New Roman" w:hAnsi="Times New Roman" w:cs="Times New Roman"/>
          <w:sz w:val="28"/>
          <w:szCs w:val="28"/>
        </w:rPr>
        <w:t>Основным отличием Инвестфонда от появившихся позднее (в период 2006-2007 гг.) институтов развития (Внешэкономбанк, ОАО «ОЭЗ», Российская венчурная компания, ГК «Ростехнология», Фонд реформирования ЖКХ др.) является отсутствие организационно-правовой формы, так как согласно ст. 179.2 Бюджетного кодекса РФ Инвестфонд является целевой статьей федерального бюджета, подлежащей использованию в целях реализации инвестиционных проектов, осуществляемых на принципах государственно-частного партнерства.</w:t>
      </w:r>
    </w:p>
    <w:p w:rsidR="002B632B" w:rsidRPr="00910934" w:rsidRDefault="002B632B" w:rsidP="00910934">
      <w:pPr>
        <w:spacing w:before="100" w:beforeAutospacing="1" w:after="100" w:afterAutospacing="1" w:line="360" w:lineRule="auto"/>
        <w:ind w:firstLine="709"/>
        <w:jc w:val="both"/>
        <w:rPr>
          <w:rFonts w:ascii="Times New Roman" w:hAnsi="Times New Roman" w:cs="Times New Roman"/>
          <w:sz w:val="28"/>
          <w:szCs w:val="28"/>
        </w:rPr>
      </w:pPr>
      <w:r w:rsidRPr="00910934">
        <w:rPr>
          <w:rFonts w:ascii="Times New Roman" w:hAnsi="Times New Roman" w:cs="Times New Roman"/>
          <w:sz w:val="28"/>
          <w:szCs w:val="28"/>
        </w:rPr>
        <w:t xml:space="preserve">В июне 2008 года был создан Центр развития ГЧП при Внешэкономбанке, что стало началом процесса консолидации государственных институтов развития на базе Банка развития. Ключевой целью Центра ГЧП является содействие разработке и реализации проектов на основе государственно-частного партнерства, а также квалифицированная подготовка, организация и сопровождение проектов ГЧП для реализации отраслевых, региональных и городских стратегий развития, оказание поддержки органам муниципального и государственного управления по совершенствованию инструментов ГЧП. Центр ГЧП реализует функции по </w:t>
      </w:r>
      <w:r w:rsidRPr="00910934">
        <w:rPr>
          <w:rFonts w:ascii="Times New Roman" w:hAnsi="Times New Roman" w:cs="Times New Roman"/>
          <w:sz w:val="28"/>
          <w:szCs w:val="28"/>
        </w:rPr>
        <w:lastRenderedPageBreak/>
        <w:t xml:space="preserve">нескольким направлениям: 1) Информационное обеспечение. 2) Нормативное сопровождение. 3) Поддержка переподготовки кадров органов государственного и муниципального управления. 4) Организация взаимодействия профессиональных участников рынка ГЧП. Благоприятная для развития ГЧП в России атмосфера находит свое отражение в деятельности органов государственного управления РФ. Так, Министерство регионального развития разработало «Комплексную программу модернизации и реформирования жилищно-коммунального хозяйства на 2010-2020 годы». В указанный период министерство рассчитывает на создание органами местного самоуправления специализированных предприятий в формате открытых акционерных обществ, управляющих услугами ЖКХ. В уставной капитал таких предприятий предполагается привлекать также иностранные инвестиции. Одной из приоритетных сфер деятельности в контексте развития регионов Министерство рассматривает водоснабжение. С целью реализации обозначенных задач Министерство реализует ряд проектов по финансовой поддержке упомянутой программы. Среди них можно назвать программу модернизации ЖКХ, на реализацию которой предполагается выделить около 21 млрд руб. в течение 3 лет, программу «Чистая вода» стоимостью 9 млрд руб. (на 3 года), целью которой является финансирование проектов строительства станций очистки воды с привлечением частного капитала, программа модернизации электросетей, финансируемая в размере 10 млрд руб. в форме бонификации ссудного процента и 5 млрд руб. за счет частных безвозмездных капиталовложений и реализуемая в контексте региональной программы и Федерального закона № 261-ФЗ «Об энергосбережении и о повышении энергетической эффективности». Министерство экономического развития позиционирует себя в качестве структуры, ответственной за реализацию вопросов ГЧП в России. В этой связи министерство участвует в руководстве деятельностью федерального Инвестиционного фонда. Министерство экономического развития также предоставляет государственные гарантии на реализацию некоторых проектов в случае, если </w:t>
      </w:r>
      <w:r w:rsidRPr="00910934">
        <w:rPr>
          <w:rFonts w:ascii="Times New Roman" w:hAnsi="Times New Roman" w:cs="Times New Roman"/>
          <w:sz w:val="28"/>
          <w:szCs w:val="28"/>
        </w:rPr>
        <w:lastRenderedPageBreak/>
        <w:t>они финансируются государством совместно с частными организациями, а также при соблюдении следующих условий: минимальный объем частных капиталовложений должен составлять 15%, стоимость проекта должна быть более 5 млрд руб., государственные гарантии могут покрывать не более 50% от общего объема финансирования проекта. В целом, за последние 1,5 года задача улучшения климата для привлечения иностранных инвесторов стала одной из приоритетных в деятельности Минэкономразвития. В то же время актуальным остается вопрос привлечения российского частного капитала в инвестиционные проекты, реализуемые в России. Министерство финансов также способствует развитию ГЧП в России. С этой целью в настоящее время Министерство осуществляет пересмотр бюджетной политики, проведение которой способствует реализации проектов ГЧП. Так, начиная с 2012 г. бюджет Российской Федерации будет включать в себя 40 программ развития российской экономики в различных сферах. Реализация данных программ рассчитана на период до 2020 г. Очевидно, проекты ГЧП должны составлять значительную часть данных программ. В структуре Министерства финансов также недавно сформирован департамент ГЧП. Многие федеральные министерства заинтересованы в развитии ГЧП. Такой интерес присутствует у Министерства транспорта, которое, тем не менее, считает, что на сегодняшний день развитие проектов ГЧП больше опирается на регионы, в связи с чем целесообразнее принятие на региональном уровне соответствующих законодательных актов и создание профильных структур.</w:t>
      </w:r>
    </w:p>
    <w:p w:rsidR="002B632B" w:rsidRDefault="002B632B" w:rsidP="00910934">
      <w:pPr>
        <w:spacing w:before="100" w:beforeAutospacing="1" w:after="100" w:afterAutospacing="1" w:line="360" w:lineRule="auto"/>
        <w:ind w:firstLine="709"/>
        <w:jc w:val="both"/>
        <w:rPr>
          <w:rFonts w:ascii="Times New Roman" w:hAnsi="Times New Roman" w:cs="Times New Roman"/>
          <w:sz w:val="28"/>
          <w:szCs w:val="28"/>
        </w:rPr>
      </w:pPr>
      <w:r w:rsidRPr="00910934">
        <w:rPr>
          <w:rFonts w:ascii="Times New Roman" w:hAnsi="Times New Roman" w:cs="Times New Roman"/>
          <w:sz w:val="28"/>
          <w:szCs w:val="28"/>
        </w:rPr>
        <w:t xml:space="preserve">При всей важности перечисленных принятых правительством мер, можно констатировать, что процесс создания и использования механизмов ГЧП в России, а также диалог государства и бизнеса по данному вопросу только начаты, и требуется значительно ускорить движение в этом направлении. Сегодня основная задача государственной власти и бизнеса – выработка конкретных процедур применения этих инструментов и их обкатка на пилотных проектах. По мнению экспертов, сейчас необходимы </w:t>
      </w:r>
      <w:r w:rsidRPr="00910934">
        <w:rPr>
          <w:rFonts w:ascii="Times New Roman" w:hAnsi="Times New Roman" w:cs="Times New Roman"/>
          <w:sz w:val="28"/>
          <w:szCs w:val="28"/>
        </w:rPr>
        <w:lastRenderedPageBreak/>
        <w:t>скоординированные действия власти и бизнеса по повышению эффективности ГЧП, и в первую очередь нуждается в совершенствовании законодательная база государственно-частного партнерства, чтобы этот инструмент заработал в полную силу.</w:t>
      </w:r>
    </w:p>
    <w:p w:rsidR="00E073EF" w:rsidRDefault="00E073EF" w:rsidP="00910934">
      <w:pPr>
        <w:spacing w:before="100" w:beforeAutospacing="1" w:after="100" w:afterAutospacing="1" w:line="360" w:lineRule="auto"/>
        <w:ind w:firstLine="709"/>
        <w:jc w:val="both"/>
        <w:rPr>
          <w:rFonts w:ascii="Times New Roman" w:hAnsi="Times New Roman" w:cs="Times New Roman"/>
          <w:b/>
          <w:sz w:val="28"/>
          <w:szCs w:val="28"/>
        </w:rPr>
      </w:pPr>
    </w:p>
    <w:p w:rsidR="00E073EF" w:rsidRDefault="00E073EF" w:rsidP="00910934">
      <w:pPr>
        <w:spacing w:before="100" w:beforeAutospacing="1" w:after="100" w:afterAutospacing="1"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br w:type="page"/>
      </w:r>
    </w:p>
    <w:p w:rsidR="00B96FBC" w:rsidRDefault="00B96FBC" w:rsidP="00910934">
      <w:pPr>
        <w:spacing w:before="100" w:beforeAutospacing="1" w:after="100" w:afterAutospacing="1" w:line="360" w:lineRule="auto"/>
        <w:ind w:firstLine="709"/>
        <w:jc w:val="both"/>
        <w:rPr>
          <w:rFonts w:ascii="Times New Roman" w:hAnsi="Times New Roman" w:cs="Times New Roman"/>
          <w:b/>
          <w:sz w:val="28"/>
          <w:szCs w:val="28"/>
        </w:rPr>
      </w:pPr>
      <w:r w:rsidRPr="00B96FBC">
        <w:rPr>
          <w:rFonts w:ascii="Times New Roman" w:hAnsi="Times New Roman" w:cs="Times New Roman"/>
          <w:b/>
          <w:sz w:val="28"/>
          <w:szCs w:val="28"/>
        </w:rPr>
        <w:lastRenderedPageBreak/>
        <w:t>Библиографический список</w:t>
      </w:r>
    </w:p>
    <w:p w:rsidR="00EE30FC" w:rsidRPr="00E073EF" w:rsidRDefault="00EE30FC" w:rsidP="00E073EF">
      <w:pPr>
        <w:pStyle w:val="a3"/>
        <w:numPr>
          <w:ilvl w:val="0"/>
          <w:numId w:val="1"/>
        </w:numPr>
        <w:spacing w:line="360" w:lineRule="auto"/>
        <w:ind w:left="0" w:firstLine="709"/>
        <w:jc w:val="both"/>
        <w:rPr>
          <w:rFonts w:ascii="Times New Roman" w:hAnsi="Times New Roman" w:cs="Times New Roman"/>
          <w:sz w:val="28"/>
          <w:szCs w:val="28"/>
        </w:rPr>
      </w:pPr>
      <w:r w:rsidRPr="00E073EF">
        <w:rPr>
          <w:rFonts w:ascii="Times New Roman" w:hAnsi="Times New Roman" w:cs="Times New Roman"/>
          <w:sz w:val="28"/>
          <w:szCs w:val="28"/>
        </w:rPr>
        <w:t>Государственно-частное партнерство в инновационной сфере: мировой опыт и перспективы России / под ред. Р.М. Нижегородцева, С.М. Никитенко, Е.В. Гоосен. – Кемерово: ООО «Сибирская издательская группа», 2013.</w:t>
      </w:r>
    </w:p>
    <w:p w:rsidR="001B204D" w:rsidRPr="00E073EF" w:rsidRDefault="001B204D" w:rsidP="00E073EF">
      <w:pPr>
        <w:pStyle w:val="a3"/>
        <w:numPr>
          <w:ilvl w:val="0"/>
          <w:numId w:val="1"/>
        </w:numPr>
        <w:spacing w:line="360" w:lineRule="auto"/>
        <w:ind w:left="0" w:firstLine="709"/>
        <w:jc w:val="both"/>
        <w:rPr>
          <w:rFonts w:ascii="Times New Roman" w:hAnsi="Times New Roman" w:cs="Times New Roman"/>
          <w:sz w:val="28"/>
          <w:szCs w:val="28"/>
          <w:lang w:val="en-US"/>
        </w:rPr>
      </w:pPr>
      <w:r w:rsidRPr="00E073EF">
        <w:rPr>
          <w:rFonts w:ascii="Times New Roman" w:hAnsi="Times New Roman" w:cs="Times New Roman"/>
          <w:sz w:val="28"/>
          <w:szCs w:val="28"/>
          <w:lang w:val="en-US"/>
        </w:rPr>
        <w:t>Green Paper on Public-Private Partnerships and Community Law on Public Contracts and Concessions Commission of the Eur</w:t>
      </w:r>
      <w:r w:rsidR="00EE30FC" w:rsidRPr="00E073EF">
        <w:rPr>
          <w:rFonts w:ascii="Times New Roman" w:hAnsi="Times New Roman" w:cs="Times New Roman"/>
          <w:sz w:val="28"/>
          <w:szCs w:val="28"/>
          <w:lang w:val="en-US"/>
        </w:rPr>
        <w:t>opean Communities Brussels, 2015</w:t>
      </w:r>
      <w:r w:rsidRPr="00E073EF">
        <w:rPr>
          <w:rFonts w:ascii="Times New Roman" w:hAnsi="Times New Roman" w:cs="Times New Roman"/>
          <w:sz w:val="28"/>
          <w:szCs w:val="28"/>
          <w:lang w:val="en-US"/>
        </w:rPr>
        <w:t>.</w:t>
      </w:r>
    </w:p>
    <w:p w:rsidR="001B204D" w:rsidRPr="00E073EF" w:rsidRDefault="001B204D" w:rsidP="00E073EF">
      <w:pPr>
        <w:pStyle w:val="a3"/>
        <w:numPr>
          <w:ilvl w:val="0"/>
          <w:numId w:val="1"/>
        </w:numPr>
        <w:spacing w:line="360" w:lineRule="auto"/>
        <w:ind w:left="0" w:firstLine="709"/>
        <w:jc w:val="both"/>
        <w:rPr>
          <w:sz w:val="28"/>
          <w:szCs w:val="28"/>
          <w:lang w:val="en-US"/>
        </w:rPr>
      </w:pPr>
      <w:r w:rsidRPr="00E073EF">
        <w:rPr>
          <w:rFonts w:ascii="Times New Roman" w:hAnsi="Times New Roman" w:cs="Times New Roman"/>
          <w:sz w:val="28"/>
          <w:szCs w:val="28"/>
          <w:lang w:val="en-US"/>
        </w:rPr>
        <w:t>Ideline for Successful Public Partnerships// European Commission Directorate-Gene</w:t>
      </w:r>
      <w:r w:rsidR="00EE30FC" w:rsidRPr="00E073EF">
        <w:rPr>
          <w:rFonts w:ascii="Times New Roman" w:hAnsi="Times New Roman" w:cs="Times New Roman"/>
          <w:sz w:val="28"/>
          <w:szCs w:val="28"/>
          <w:lang w:val="en-US"/>
        </w:rPr>
        <w:t>ral Regional Policy. March, 2015</w:t>
      </w:r>
      <w:r w:rsidRPr="00E073EF">
        <w:rPr>
          <w:rFonts w:ascii="Times New Roman" w:hAnsi="Times New Roman" w:cs="Times New Roman"/>
          <w:sz w:val="28"/>
          <w:szCs w:val="28"/>
          <w:lang w:val="en-US"/>
        </w:rPr>
        <w:t>.</w:t>
      </w:r>
    </w:p>
    <w:p w:rsidR="001B204D" w:rsidRPr="00E073EF" w:rsidRDefault="001B204D" w:rsidP="00E073EF">
      <w:pPr>
        <w:pStyle w:val="a3"/>
        <w:numPr>
          <w:ilvl w:val="0"/>
          <w:numId w:val="1"/>
        </w:numPr>
        <w:spacing w:line="360" w:lineRule="auto"/>
        <w:ind w:left="0" w:firstLine="709"/>
        <w:jc w:val="both"/>
        <w:rPr>
          <w:rFonts w:ascii="Times New Roman" w:hAnsi="Times New Roman" w:cs="Times New Roman"/>
          <w:sz w:val="28"/>
          <w:szCs w:val="28"/>
          <w:lang w:val="en-US"/>
        </w:rPr>
      </w:pPr>
      <w:r w:rsidRPr="00E073EF">
        <w:rPr>
          <w:rFonts w:ascii="Times New Roman" w:hAnsi="Times New Roman" w:cs="Times New Roman"/>
          <w:sz w:val="28"/>
          <w:szCs w:val="28"/>
          <w:lang w:val="en-US"/>
        </w:rPr>
        <w:t xml:space="preserve">Guidelines of Private Public Partnerships for Infrastructure Development//UN, Economic Commission for Europe. </w:t>
      </w:r>
      <w:r w:rsidR="00EE30FC" w:rsidRPr="00E073EF">
        <w:rPr>
          <w:rFonts w:ascii="Times New Roman" w:hAnsi="Times New Roman" w:cs="Times New Roman"/>
          <w:sz w:val="28"/>
          <w:szCs w:val="28"/>
          <w:lang w:val="en-US"/>
        </w:rPr>
        <w:t>Dec., 2013</w:t>
      </w:r>
      <w:r w:rsidRPr="00E073EF">
        <w:rPr>
          <w:rFonts w:ascii="Times New Roman" w:hAnsi="Times New Roman" w:cs="Times New Roman"/>
          <w:sz w:val="28"/>
          <w:szCs w:val="28"/>
          <w:lang w:val="en-US"/>
        </w:rPr>
        <w:t>.</w:t>
      </w:r>
    </w:p>
    <w:p w:rsidR="001B204D" w:rsidRPr="00E073EF" w:rsidRDefault="001B204D" w:rsidP="00E073EF">
      <w:pPr>
        <w:pStyle w:val="a3"/>
        <w:numPr>
          <w:ilvl w:val="0"/>
          <w:numId w:val="1"/>
        </w:numPr>
        <w:spacing w:line="360" w:lineRule="auto"/>
        <w:ind w:left="0" w:firstLine="709"/>
        <w:jc w:val="both"/>
        <w:rPr>
          <w:rFonts w:ascii="Times New Roman" w:hAnsi="Times New Roman" w:cs="Times New Roman"/>
          <w:sz w:val="28"/>
          <w:szCs w:val="28"/>
        </w:rPr>
      </w:pPr>
      <w:r w:rsidRPr="00E073EF">
        <w:rPr>
          <w:rFonts w:ascii="Times New Roman" w:hAnsi="Times New Roman" w:cs="Times New Roman"/>
          <w:sz w:val="28"/>
          <w:szCs w:val="28"/>
        </w:rPr>
        <w:t xml:space="preserve">Практическое руководство по вопросам эффективного управления в сфере государственно-частного партнерства // Организация </w:t>
      </w:r>
      <w:r w:rsidR="00EE30FC" w:rsidRPr="00E073EF">
        <w:rPr>
          <w:rFonts w:ascii="Times New Roman" w:hAnsi="Times New Roman" w:cs="Times New Roman"/>
          <w:sz w:val="28"/>
          <w:szCs w:val="28"/>
        </w:rPr>
        <w:t>Объединенных Наций. Женева, 2016</w:t>
      </w:r>
      <w:r w:rsidRPr="00E073EF">
        <w:rPr>
          <w:rFonts w:ascii="Times New Roman" w:hAnsi="Times New Roman" w:cs="Times New Roman"/>
          <w:sz w:val="28"/>
          <w:szCs w:val="28"/>
        </w:rPr>
        <w:t>.</w:t>
      </w:r>
    </w:p>
    <w:p w:rsidR="001B204D" w:rsidRPr="00E073EF" w:rsidRDefault="001B204D" w:rsidP="00E073EF">
      <w:pPr>
        <w:pStyle w:val="a3"/>
        <w:numPr>
          <w:ilvl w:val="0"/>
          <w:numId w:val="1"/>
        </w:numPr>
        <w:spacing w:line="360" w:lineRule="auto"/>
        <w:ind w:left="0" w:firstLine="709"/>
        <w:jc w:val="both"/>
        <w:rPr>
          <w:rFonts w:ascii="Times New Roman" w:hAnsi="Times New Roman" w:cs="Times New Roman"/>
          <w:sz w:val="28"/>
          <w:szCs w:val="28"/>
        </w:rPr>
      </w:pPr>
      <w:r w:rsidRPr="00E073EF">
        <w:rPr>
          <w:rFonts w:ascii="Times New Roman" w:hAnsi="Times New Roman" w:cs="Times New Roman"/>
          <w:sz w:val="28"/>
          <w:szCs w:val="28"/>
        </w:rPr>
        <w:t>Варнавский В.Г., Клименко А.В., Королев В.А. Государственно-частное партнерство: теори</w:t>
      </w:r>
      <w:r w:rsidR="00EE30FC" w:rsidRPr="00E073EF">
        <w:rPr>
          <w:rFonts w:ascii="Times New Roman" w:hAnsi="Times New Roman" w:cs="Times New Roman"/>
          <w:sz w:val="28"/>
          <w:szCs w:val="28"/>
        </w:rPr>
        <w:t>я и практика. – М.: ГУ ВШЭ, 2016</w:t>
      </w:r>
      <w:r w:rsidRPr="00E073EF">
        <w:rPr>
          <w:rFonts w:ascii="Times New Roman" w:hAnsi="Times New Roman" w:cs="Times New Roman"/>
          <w:sz w:val="28"/>
          <w:szCs w:val="28"/>
        </w:rPr>
        <w:t>.</w:t>
      </w:r>
    </w:p>
    <w:sectPr w:rsidR="001B204D" w:rsidRPr="00E073EF" w:rsidSect="00DC7458">
      <w:foot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C03" w:rsidRDefault="00C71C03" w:rsidP="002B632B">
      <w:pPr>
        <w:spacing w:after="0" w:line="240" w:lineRule="auto"/>
      </w:pPr>
      <w:r>
        <w:separator/>
      </w:r>
    </w:p>
  </w:endnote>
  <w:endnote w:type="continuationSeparator" w:id="0">
    <w:p w:rsidR="00C71C03" w:rsidRDefault="00C71C03" w:rsidP="002B6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77040260"/>
      <w:docPartObj>
        <w:docPartGallery w:val="Page Numbers (Bottom of Page)"/>
        <w:docPartUnique/>
      </w:docPartObj>
    </w:sdtPr>
    <w:sdtEndPr>
      <w:rPr>
        <w:rFonts w:ascii="Times New Roman" w:hAnsi="Times New Roman" w:cs="Times New Roman"/>
        <w:sz w:val="28"/>
        <w:szCs w:val="28"/>
      </w:rPr>
    </w:sdtEndPr>
    <w:sdtContent>
      <w:p w:rsidR="00B96FBC" w:rsidRPr="00E073EF" w:rsidRDefault="00B96FBC">
        <w:pPr>
          <w:pStyle w:val="ae"/>
          <w:jc w:val="center"/>
          <w:rPr>
            <w:rFonts w:ascii="Times New Roman" w:hAnsi="Times New Roman" w:cs="Times New Roman"/>
            <w:sz w:val="28"/>
            <w:szCs w:val="28"/>
          </w:rPr>
        </w:pPr>
        <w:r w:rsidRPr="00E073EF">
          <w:rPr>
            <w:rFonts w:ascii="Times New Roman" w:hAnsi="Times New Roman" w:cs="Times New Roman"/>
            <w:sz w:val="28"/>
            <w:szCs w:val="28"/>
          </w:rPr>
          <w:fldChar w:fldCharType="begin"/>
        </w:r>
        <w:r w:rsidRPr="00E073EF">
          <w:rPr>
            <w:rFonts w:ascii="Times New Roman" w:hAnsi="Times New Roman" w:cs="Times New Roman"/>
            <w:sz w:val="28"/>
            <w:szCs w:val="28"/>
          </w:rPr>
          <w:instrText>PAGE   \* MERGEFORMAT</w:instrText>
        </w:r>
        <w:r w:rsidRPr="00E073EF">
          <w:rPr>
            <w:rFonts w:ascii="Times New Roman" w:hAnsi="Times New Roman" w:cs="Times New Roman"/>
            <w:sz w:val="28"/>
            <w:szCs w:val="28"/>
          </w:rPr>
          <w:fldChar w:fldCharType="separate"/>
        </w:r>
        <w:r w:rsidR="002E0A09">
          <w:rPr>
            <w:rFonts w:ascii="Times New Roman" w:hAnsi="Times New Roman" w:cs="Times New Roman"/>
            <w:noProof/>
            <w:sz w:val="28"/>
            <w:szCs w:val="28"/>
          </w:rPr>
          <w:t>2</w:t>
        </w:r>
        <w:r w:rsidRPr="00E073EF">
          <w:rPr>
            <w:rFonts w:ascii="Times New Roman" w:hAnsi="Times New Roman" w:cs="Times New Roman"/>
            <w:sz w:val="28"/>
            <w:szCs w:val="28"/>
          </w:rPr>
          <w:fldChar w:fldCharType="end"/>
        </w:r>
      </w:p>
    </w:sdtContent>
  </w:sdt>
  <w:p w:rsidR="00B96FBC" w:rsidRDefault="00B96FBC" w:rsidP="00DC7458">
    <w:pPr>
      <w:pStyle w:val="a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C03" w:rsidRDefault="00C71C03" w:rsidP="002B632B">
      <w:pPr>
        <w:spacing w:after="0" w:line="240" w:lineRule="auto"/>
      </w:pPr>
      <w:r>
        <w:separator/>
      </w:r>
    </w:p>
  </w:footnote>
  <w:footnote w:type="continuationSeparator" w:id="0">
    <w:p w:rsidR="00C71C03" w:rsidRDefault="00C71C03" w:rsidP="002B632B">
      <w:pPr>
        <w:spacing w:after="0" w:line="240" w:lineRule="auto"/>
      </w:pPr>
      <w:r>
        <w:continuationSeparator/>
      </w:r>
    </w:p>
  </w:footnote>
  <w:footnote w:id="1">
    <w:p w:rsidR="002B632B" w:rsidRDefault="002B632B" w:rsidP="002B632B">
      <w:pPr>
        <w:pStyle w:val="a3"/>
        <w:rPr>
          <w:rFonts w:ascii="Times New Roman" w:hAnsi="Times New Roman" w:cs="Times New Roman"/>
          <w:sz w:val="24"/>
          <w:szCs w:val="24"/>
        </w:rPr>
      </w:pPr>
      <w:r>
        <w:rPr>
          <w:rStyle w:val="a5"/>
          <w:sz w:val="24"/>
        </w:rPr>
        <w:footnoteRef/>
      </w:r>
      <w:r>
        <w:rPr>
          <w:rFonts w:ascii="Times New Roman" w:hAnsi="Times New Roman" w:cs="Times New Roman"/>
          <w:sz w:val="24"/>
          <w:szCs w:val="24"/>
        </w:rPr>
        <w:t xml:space="preserve"> Государственно-частное партнерство в инновационной сфере: мировой опыт и перспективы России / под ред. Р.М. Нижегородцева, С.М. Никитенко, Е.В. Гоосен. – Кемерово: ООО «Сиби</w:t>
      </w:r>
      <w:r w:rsidR="00EE30FC">
        <w:rPr>
          <w:rFonts w:ascii="Times New Roman" w:hAnsi="Times New Roman" w:cs="Times New Roman"/>
          <w:sz w:val="24"/>
          <w:szCs w:val="24"/>
        </w:rPr>
        <w:t>рская издательская группа», 2013</w:t>
      </w:r>
      <w:r>
        <w:rPr>
          <w:rFonts w:ascii="Times New Roman" w:hAnsi="Times New Roman" w:cs="Times New Roman"/>
          <w:sz w:val="24"/>
          <w:szCs w:val="24"/>
        </w:rPr>
        <w:t>.</w:t>
      </w:r>
    </w:p>
  </w:footnote>
  <w:footnote w:id="2">
    <w:p w:rsidR="002B632B" w:rsidRDefault="002B632B" w:rsidP="002B632B">
      <w:pPr>
        <w:pStyle w:val="a3"/>
        <w:rPr>
          <w:rFonts w:ascii="Times New Roman" w:hAnsi="Times New Roman" w:cs="Times New Roman"/>
          <w:sz w:val="24"/>
          <w:szCs w:val="24"/>
          <w:lang w:val="en-US"/>
        </w:rPr>
      </w:pPr>
      <w:r>
        <w:rPr>
          <w:rStyle w:val="a5"/>
          <w:sz w:val="24"/>
        </w:rPr>
        <w:footnoteRef/>
      </w:r>
      <w:r>
        <w:rPr>
          <w:rFonts w:ascii="Times New Roman" w:hAnsi="Times New Roman" w:cs="Times New Roman"/>
          <w:sz w:val="24"/>
          <w:szCs w:val="24"/>
          <w:lang w:val="en-US"/>
        </w:rPr>
        <w:t xml:space="preserve"> Green Paper on Public-Private Partnerships and Community Law on Public Contracts and Concessions Commission of the Eur</w:t>
      </w:r>
      <w:r w:rsidR="00EE30FC">
        <w:rPr>
          <w:rFonts w:ascii="Times New Roman" w:hAnsi="Times New Roman" w:cs="Times New Roman"/>
          <w:sz w:val="24"/>
          <w:szCs w:val="24"/>
          <w:lang w:val="en-US"/>
        </w:rPr>
        <w:t>opean Communities Brussels, 2015</w:t>
      </w:r>
      <w:r>
        <w:rPr>
          <w:rFonts w:ascii="Times New Roman" w:hAnsi="Times New Roman" w:cs="Times New Roman"/>
          <w:sz w:val="24"/>
          <w:szCs w:val="24"/>
          <w:lang w:val="en-US"/>
        </w:rPr>
        <w:t>.</w:t>
      </w:r>
    </w:p>
  </w:footnote>
  <w:footnote w:id="3">
    <w:p w:rsidR="002B632B" w:rsidRDefault="002B632B" w:rsidP="002B632B">
      <w:pPr>
        <w:pStyle w:val="a3"/>
        <w:rPr>
          <w:lang w:val="en-US"/>
        </w:rPr>
      </w:pPr>
      <w:r>
        <w:rPr>
          <w:rStyle w:val="a5"/>
          <w:sz w:val="24"/>
        </w:rPr>
        <w:footnoteRef/>
      </w:r>
      <w:r>
        <w:rPr>
          <w:rFonts w:ascii="Times New Roman" w:hAnsi="Times New Roman" w:cs="Times New Roman"/>
          <w:sz w:val="24"/>
          <w:szCs w:val="24"/>
          <w:lang w:val="en-US"/>
        </w:rPr>
        <w:t xml:space="preserve"> Ideline for Successful Public Partnerships// European Commission Directorate-Gene</w:t>
      </w:r>
      <w:r w:rsidR="00EE30FC">
        <w:rPr>
          <w:rFonts w:ascii="Times New Roman" w:hAnsi="Times New Roman" w:cs="Times New Roman"/>
          <w:sz w:val="24"/>
          <w:szCs w:val="24"/>
          <w:lang w:val="en-US"/>
        </w:rPr>
        <w:t>ral Regional Policy. March, 2015</w:t>
      </w:r>
      <w:r>
        <w:rPr>
          <w:rFonts w:ascii="Times New Roman" w:hAnsi="Times New Roman" w:cs="Times New Roman"/>
          <w:sz w:val="24"/>
          <w:szCs w:val="24"/>
          <w:lang w:val="en-US"/>
        </w:rPr>
        <w:t>.</w:t>
      </w:r>
    </w:p>
  </w:footnote>
  <w:footnote w:id="4">
    <w:p w:rsidR="002B632B" w:rsidRDefault="002B632B" w:rsidP="002B632B">
      <w:pPr>
        <w:pStyle w:val="a3"/>
        <w:rPr>
          <w:rFonts w:ascii="Times New Roman" w:hAnsi="Times New Roman" w:cs="Times New Roman"/>
          <w:sz w:val="24"/>
          <w:szCs w:val="24"/>
        </w:rPr>
      </w:pPr>
      <w:r>
        <w:rPr>
          <w:rStyle w:val="a5"/>
          <w:sz w:val="24"/>
        </w:rPr>
        <w:footnoteRef/>
      </w:r>
      <w:r>
        <w:rPr>
          <w:rFonts w:ascii="Times New Roman" w:hAnsi="Times New Roman" w:cs="Times New Roman"/>
          <w:sz w:val="24"/>
          <w:szCs w:val="24"/>
          <w:lang w:val="en-US"/>
        </w:rPr>
        <w:t xml:space="preserve"> Guidelines of Private Public Partnerships for Infrastructure Development//UN, Economic Commission for Europe. </w:t>
      </w:r>
      <w:r w:rsidR="00EE30FC">
        <w:rPr>
          <w:rFonts w:ascii="Times New Roman" w:hAnsi="Times New Roman" w:cs="Times New Roman"/>
          <w:sz w:val="24"/>
          <w:szCs w:val="24"/>
        </w:rPr>
        <w:t>Dec., 2013</w:t>
      </w:r>
      <w:r>
        <w:rPr>
          <w:rFonts w:ascii="Times New Roman" w:hAnsi="Times New Roman" w:cs="Times New Roman"/>
          <w:sz w:val="24"/>
          <w:szCs w:val="24"/>
        </w:rPr>
        <w:t>.</w:t>
      </w:r>
    </w:p>
  </w:footnote>
  <w:footnote w:id="5">
    <w:p w:rsidR="002B632B" w:rsidRDefault="002B632B" w:rsidP="002B632B">
      <w:pPr>
        <w:pStyle w:val="a3"/>
        <w:rPr>
          <w:rFonts w:ascii="Times New Roman" w:hAnsi="Times New Roman" w:cs="Times New Roman"/>
          <w:sz w:val="24"/>
          <w:szCs w:val="24"/>
        </w:rPr>
      </w:pPr>
      <w:r>
        <w:rPr>
          <w:rStyle w:val="a5"/>
          <w:sz w:val="24"/>
        </w:rPr>
        <w:footnoteRef/>
      </w:r>
      <w:r>
        <w:rPr>
          <w:rFonts w:ascii="Times New Roman" w:hAnsi="Times New Roman" w:cs="Times New Roman"/>
          <w:sz w:val="24"/>
          <w:szCs w:val="24"/>
        </w:rPr>
        <w:t xml:space="preserve"> Практическое руководство по вопросам эффективного управления в сфере государственно-частного партнерства // Организация </w:t>
      </w:r>
      <w:r w:rsidR="00EE30FC">
        <w:rPr>
          <w:rFonts w:ascii="Times New Roman" w:hAnsi="Times New Roman" w:cs="Times New Roman"/>
          <w:sz w:val="24"/>
          <w:szCs w:val="24"/>
        </w:rPr>
        <w:t>Объединенных Наций. Женева, 2016</w:t>
      </w:r>
      <w:r>
        <w:rPr>
          <w:rFonts w:ascii="Times New Roman" w:hAnsi="Times New Roman" w:cs="Times New Roman"/>
          <w:sz w:val="24"/>
          <w:szCs w:val="24"/>
        </w:rPr>
        <w:t>.</w:t>
      </w:r>
    </w:p>
  </w:footnote>
  <w:footnote w:id="6">
    <w:p w:rsidR="002B632B" w:rsidRDefault="002B632B" w:rsidP="002B632B">
      <w:pPr>
        <w:pStyle w:val="a3"/>
        <w:rPr>
          <w:rFonts w:ascii="Times New Roman" w:hAnsi="Times New Roman" w:cs="Times New Roman"/>
          <w:sz w:val="24"/>
          <w:szCs w:val="24"/>
        </w:rPr>
      </w:pPr>
      <w:r>
        <w:rPr>
          <w:rStyle w:val="a5"/>
          <w:sz w:val="24"/>
        </w:rPr>
        <w:footnoteRef/>
      </w:r>
      <w:r>
        <w:rPr>
          <w:rFonts w:ascii="Times New Roman" w:hAnsi="Times New Roman" w:cs="Times New Roman"/>
          <w:sz w:val="24"/>
          <w:szCs w:val="24"/>
        </w:rPr>
        <w:t xml:space="preserve"> Варнавский В.Г., Клименко А.В., Королев В.А. Государственно-частное партнерство: теори</w:t>
      </w:r>
      <w:r w:rsidR="00EE30FC">
        <w:rPr>
          <w:rFonts w:ascii="Times New Roman" w:hAnsi="Times New Roman" w:cs="Times New Roman"/>
          <w:sz w:val="24"/>
          <w:szCs w:val="24"/>
        </w:rPr>
        <w:t>я и практика. – М.: ГУ ВШЭ, 2016</w:t>
      </w:r>
      <w:r>
        <w:rPr>
          <w:rFonts w:ascii="Times New Roman" w:hAnsi="Times New Roman" w:cs="Times New Roman"/>
          <w:sz w:val="24"/>
          <w:szCs w:val="24"/>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7293069"/>
    <w:multiLevelType w:val="hybridMultilevel"/>
    <w:tmpl w:val="E6AE4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734"/>
    <w:rsid w:val="000B1FDB"/>
    <w:rsid w:val="001B204D"/>
    <w:rsid w:val="002B632B"/>
    <w:rsid w:val="002E0A09"/>
    <w:rsid w:val="00304751"/>
    <w:rsid w:val="00493D5B"/>
    <w:rsid w:val="00835734"/>
    <w:rsid w:val="008E145D"/>
    <w:rsid w:val="00910934"/>
    <w:rsid w:val="00B96FBC"/>
    <w:rsid w:val="00C71C03"/>
    <w:rsid w:val="00DC7458"/>
    <w:rsid w:val="00E073EF"/>
    <w:rsid w:val="00EE30FC"/>
    <w:rsid w:val="00F5246C"/>
    <w:rsid w:val="00FB40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868CA7-932F-4A43-BFCB-559A7CA44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632B"/>
    <w:pPr>
      <w:spacing w:line="256" w:lineRule="auto"/>
    </w:pPr>
  </w:style>
  <w:style w:type="paragraph" w:styleId="1">
    <w:name w:val="heading 1"/>
    <w:basedOn w:val="a"/>
    <w:next w:val="a"/>
    <w:link w:val="10"/>
    <w:uiPriority w:val="9"/>
    <w:qFormat/>
    <w:rsid w:val="0091093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qFormat/>
    <w:rsid w:val="002B632B"/>
    <w:pPr>
      <w:keepNext/>
      <w:spacing w:after="0" w:line="240" w:lineRule="auto"/>
      <w:jc w:val="center"/>
      <w:outlineLvl w:val="2"/>
    </w:pPr>
    <w:rPr>
      <w:rFonts w:ascii="Times New Roman" w:eastAsia="Times New Roman" w:hAnsi="Times New Roman" w:cs="Times New Roman"/>
      <w:sz w:val="28"/>
      <w:szCs w:val="24"/>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2B632B"/>
    <w:pPr>
      <w:spacing w:after="0" w:line="240" w:lineRule="auto"/>
    </w:pPr>
    <w:rPr>
      <w:sz w:val="20"/>
      <w:szCs w:val="20"/>
    </w:rPr>
  </w:style>
  <w:style w:type="character" w:customStyle="1" w:styleId="a4">
    <w:name w:val="Текст сноски Знак"/>
    <w:basedOn w:val="a0"/>
    <w:link w:val="a3"/>
    <w:uiPriority w:val="99"/>
    <w:rsid w:val="002B632B"/>
    <w:rPr>
      <w:sz w:val="20"/>
      <w:szCs w:val="20"/>
    </w:rPr>
  </w:style>
  <w:style w:type="character" w:styleId="a5">
    <w:name w:val="footnote reference"/>
    <w:basedOn w:val="a0"/>
    <w:uiPriority w:val="99"/>
    <w:semiHidden/>
    <w:unhideWhenUsed/>
    <w:rsid w:val="002B632B"/>
    <w:rPr>
      <w:vertAlign w:val="superscript"/>
    </w:rPr>
  </w:style>
  <w:style w:type="character" w:customStyle="1" w:styleId="30">
    <w:name w:val="Заголовок 3 Знак"/>
    <w:basedOn w:val="a0"/>
    <w:link w:val="3"/>
    <w:rsid w:val="002B632B"/>
    <w:rPr>
      <w:rFonts w:ascii="Times New Roman" w:eastAsia="Times New Roman" w:hAnsi="Times New Roman" w:cs="Times New Roman"/>
      <w:sz w:val="28"/>
      <w:szCs w:val="24"/>
      <w:lang w:val="x-none" w:eastAsia="ru-RU"/>
    </w:rPr>
  </w:style>
  <w:style w:type="paragraph" w:styleId="a6">
    <w:name w:val="Body Text Indent"/>
    <w:basedOn w:val="a"/>
    <w:link w:val="a7"/>
    <w:rsid w:val="002B632B"/>
    <w:pPr>
      <w:spacing w:after="0" w:line="240" w:lineRule="auto"/>
      <w:ind w:firstLine="720"/>
      <w:jc w:val="both"/>
    </w:pPr>
    <w:rPr>
      <w:rFonts w:ascii="Arial" w:eastAsia="Times New Roman" w:hAnsi="Arial" w:cs="Times New Roman"/>
      <w:sz w:val="24"/>
      <w:szCs w:val="24"/>
      <w:lang w:val="x-none" w:eastAsia="ru-RU"/>
    </w:rPr>
  </w:style>
  <w:style w:type="character" w:customStyle="1" w:styleId="a7">
    <w:name w:val="Основной текст с отступом Знак"/>
    <w:basedOn w:val="a0"/>
    <w:link w:val="a6"/>
    <w:rsid w:val="002B632B"/>
    <w:rPr>
      <w:rFonts w:ascii="Arial" w:eastAsia="Times New Roman" w:hAnsi="Arial" w:cs="Times New Roman"/>
      <w:sz w:val="24"/>
      <w:szCs w:val="24"/>
      <w:lang w:val="x-none" w:eastAsia="ru-RU"/>
    </w:rPr>
  </w:style>
  <w:style w:type="paragraph" w:customStyle="1" w:styleId="FR1">
    <w:name w:val="FR1"/>
    <w:rsid w:val="002B632B"/>
    <w:pPr>
      <w:widowControl w:val="0"/>
      <w:spacing w:before="480" w:after="0" w:line="240" w:lineRule="auto"/>
      <w:ind w:left="1680" w:right="200"/>
      <w:jc w:val="center"/>
    </w:pPr>
    <w:rPr>
      <w:rFonts w:ascii="Times New Roman" w:eastAsia="Times New Roman" w:hAnsi="Times New Roman" w:cs="Times New Roman"/>
      <w:b/>
      <w:snapToGrid w:val="0"/>
      <w:sz w:val="40"/>
      <w:szCs w:val="20"/>
      <w:lang w:eastAsia="ru-RU"/>
    </w:rPr>
  </w:style>
  <w:style w:type="character" w:customStyle="1" w:styleId="10">
    <w:name w:val="Заголовок 1 Знак"/>
    <w:basedOn w:val="a0"/>
    <w:link w:val="1"/>
    <w:uiPriority w:val="9"/>
    <w:rsid w:val="00910934"/>
    <w:rPr>
      <w:rFonts w:asciiTheme="majorHAnsi" w:eastAsiaTheme="majorEastAsia" w:hAnsiTheme="majorHAnsi" w:cstheme="majorBidi"/>
      <w:color w:val="2E74B5" w:themeColor="accent1" w:themeShade="BF"/>
      <w:sz w:val="32"/>
      <w:szCs w:val="32"/>
    </w:rPr>
  </w:style>
  <w:style w:type="paragraph" w:styleId="a8">
    <w:name w:val="TOC Heading"/>
    <w:basedOn w:val="1"/>
    <w:next w:val="a"/>
    <w:uiPriority w:val="39"/>
    <w:unhideWhenUsed/>
    <w:qFormat/>
    <w:rsid w:val="00910934"/>
    <w:pPr>
      <w:spacing w:line="259" w:lineRule="auto"/>
      <w:outlineLvl w:val="9"/>
    </w:pPr>
    <w:rPr>
      <w:lang w:eastAsia="ru-RU"/>
    </w:rPr>
  </w:style>
  <w:style w:type="paragraph" w:styleId="31">
    <w:name w:val="toc 3"/>
    <w:basedOn w:val="a"/>
    <w:next w:val="a"/>
    <w:autoRedefine/>
    <w:uiPriority w:val="39"/>
    <w:unhideWhenUsed/>
    <w:rsid w:val="00910934"/>
    <w:pPr>
      <w:spacing w:after="100"/>
      <w:ind w:left="440"/>
    </w:pPr>
  </w:style>
  <w:style w:type="character" w:styleId="a9">
    <w:name w:val="Hyperlink"/>
    <w:basedOn w:val="a0"/>
    <w:uiPriority w:val="99"/>
    <w:unhideWhenUsed/>
    <w:rsid w:val="00910934"/>
    <w:rPr>
      <w:color w:val="0563C1" w:themeColor="hyperlink"/>
      <w:u w:val="single"/>
    </w:rPr>
  </w:style>
  <w:style w:type="paragraph" w:styleId="aa">
    <w:name w:val="Subtitle"/>
    <w:basedOn w:val="a"/>
    <w:next w:val="a"/>
    <w:link w:val="ab"/>
    <w:uiPriority w:val="11"/>
    <w:qFormat/>
    <w:rsid w:val="00910934"/>
    <w:pPr>
      <w:numPr>
        <w:ilvl w:val="1"/>
      </w:numPr>
    </w:pPr>
    <w:rPr>
      <w:rFonts w:eastAsiaTheme="minorEastAsia"/>
      <w:color w:val="5A5A5A" w:themeColor="text1" w:themeTint="A5"/>
      <w:spacing w:val="15"/>
    </w:rPr>
  </w:style>
  <w:style w:type="character" w:customStyle="1" w:styleId="ab">
    <w:name w:val="Подзаголовок Знак"/>
    <w:basedOn w:val="a0"/>
    <w:link w:val="aa"/>
    <w:uiPriority w:val="11"/>
    <w:rsid w:val="00910934"/>
    <w:rPr>
      <w:rFonts w:eastAsiaTheme="minorEastAsia"/>
      <w:color w:val="5A5A5A" w:themeColor="text1" w:themeTint="A5"/>
      <w:spacing w:val="15"/>
    </w:rPr>
  </w:style>
  <w:style w:type="paragraph" w:customStyle="1" w:styleId="11">
    <w:name w:val="Подзаголовок1"/>
    <w:basedOn w:val="aa"/>
    <w:qFormat/>
    <w:rsid w:val="00F5246C"/>
    <w:pPr>
      <w:spacing w:before="100" w:beforeAutospacing="1" w:after="100" w:afterAutospacing="1" w:line="360" w:lineRule="auto"/>
      <w:jc w:val="both"/>
    </w:pPr>
    <w:rPr>
      <w:rFonts w:ascii="Times New Roman" w:hAnsi="Times New Roman" w:cs="Times New Roman"/>
      <w:b/>
      <w:color w:val="auto"/>
      <w:sz w:val="28"/>
      <w:szCs w:val="28"/>
    </w:rPr>
  </w:style>
  <w:style w:type="paragraph" w:styleId="2">
    <w:name w:val="toc 2"/>
    <w:basedOn w:val="a"/>
    <w:next w:val="a"/>
    <w:autoRedefine/>
    <w:uiPriority w:val="39"/>
    <w:unhideWhenUsed/>
    <w:rsid w:val="00B96FBC"/>
    <w:pPr>
      <w:spacing w:after="100" w:line="259" w:lineRule="auto"/>
      <w:ind w:left="216"/>
    </w:pPr>
    <w:rPr>
      <w:rFonts w:eastAsiaTheme="minorEastAsia" w:cs="Times New Roman"/>
      <w:lang w:eastAsia="ru-RU"/>
    </w:rPr>
  </w:style>
  <w:style w:type="paragraph" w:styleId="12">
    <w:name w:val="toc 1"/>
    <w:basedOn w:val="a"/>
    <w:next w:val="a"/>
    <w:autoRedefine/>
    <w:uiPriority w:val="39"/>
    <w:unhideWhenUsed/>
    <w:rsid w:val="00B96FBC"/>
    <w:pPr>
      <w:spacing w:after="100" w:line="259" w:lineRule="auto"/>
    </w:pPr>
    <w:rPr>
      <w:rFonts w:eastAsiaTheme="minorEastAsia" w:cs="Times New Roman"/>
      <w:lang w:eastAsia="ru-RU"/>
    </w:rPr>
  </w:style>
  <w:style w:type="paragraph" w:styleId="ac">
    <w:name w:val="header"/>
    <w:basedOn w:val="a"/>
    <w:link w:val="ad"/>
    <w:uiPriority w:val="99"/>
    <w:unhideWhenUsed/>
    <w:rsid w:val="00B96FBC"/>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B96FBC"/>
  </w:style>
  <w:style w:type="paragraph" w:styleId="ae">
    <w:name w:val="footer"/>
    <w:basedOn w:val="a"/>
    <w:link w:val="af"/>
    <w:uiPriority w:val="99"/>
    <w:unhideWhenUsed/>
    <w:rsid w:val="00B96FBC"/>
    <w:pPr>
      <w:tabs>
        <w:tab w:val="center" w:pos="4677"/>
        <w:tab w:val="right" w:pos="9355"/>
      </w:tabs>
      <w:spacing w:after="0" w:line="240" w:lineRule="auto"/>
    </w:pPr>
  </w:style>
  <w:style w:type="character" w:customStyle="1" w:styleId="af">
    <w:name w:val="Нижний колонтитул Знак"/>
    <w:basedOn w:val="a0"/>
    <w:link w:val="ae"/>
    <w:uiPriority w:val="99"/>
    <w:rsid w:val="00B96FBC"/>
  </w:style>
  <w:style w:type="paragraph" w:styleId="af0">
    <w:name w:val="Balloon Text"/>
    <w:basedOn w:val="a"/>
    <w:link w:val="af1"/>
    <w:uiPriority w:val="99"/>
    <w:semiHidden/>
    <w:unhideWhenUsed/>
    <w:rsid w:val="00DC7458"/>
    <w:pPr>
      <w:spacing w:after="0" w:line="240" w:lineRule="auto"/>
    </w:pPr>
    <w:rPr>
      <w:rFonts w:ascii="Segoe UI" w:hAnsi="Segoe UI" w:cs="Segoe UI"/>
      <w:sz w:val="18"/>
      <w:szCs w:val="18"/>
    </w:rPr>
  </w:style>
  <w:style w:type="character" w:customStyle="1" w:styleId="af1">
    <w:name w:val="Текст выноски Знак"/>
    <w:basedOn w:val="a0"/>
    <w:link w:val="af0"/>
    <w:uiPriority w:val="99"/>
    <w:semiHidden/>
    <w:rsid w:val="00DC74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9726115">
      <w:bodyDiv w:val="1"/>
      <w:marLeft w:val="0"/>
      <w:marRight w:val="0"/>
      <w:marTop w:val="0"/>
      <w:marBottom w:val="0"/>
      <w:divBdr>
        <w:top w:val="none" w:sz="0" w:space="0" w:color="auto"/>
        <w:left w:val="none" w:sz="0" w:space="0" w:color="auto"/>
        <w:bottom w:val="none" w:sz="0" w:space="0" w:color="auto"/>
        <w:right w:val="none" w:sz="0" w:space="0" w:color="auto"/>
      </w:divBdr>
    </w:div>
    <w:div w:id="51604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0BFDE3-AA0E-4F42-B3E9-837D731963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11</Pages>
  <Words>2176</Words>
  <Characters>12404</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Mikheev</dc:creator>
  <cp:keywords/>
  <dc:description/>
  <cp:lastModifiedBy>Беденко Надежда Николаевна</cp:lastModifiedBy>
  <cp:revision>10</cp:revision>
  <cp:lastPrinted>2018-02-20T10:06:00Z</cp:lastPrinted>
  <dcterms:created xsi:type="dcterms:W3CDTF">2018-01-18T18:01:00Z</dcterms:created>
  <dcterms:modified xsi:type="dcterms:W3CDTF">2018-05-14T08:36:00Z</dcterms:modified>
</cp:coreProperties>
</file>