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ind w:leftChars="0" w:left="0"/>
        <w:autoSpaceDE/>
        <w:autoSpaceDN/>
        <w:bidi w:val="off"/>
        <w:widowControl/>
        <w:jc w:val="center"/>
        <w:spacing w:after="0" w:line="240"/>
        <w:textAlignment w:val="auto"/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</w:pPr>
      <w:r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  <w:t>Министерство образования и науки РФ</w:t>
      </w:r>
    </w:p>
    <w:p>
      <w:pPr>
        <w:adjustRightInd/>
        <w:ind w:leftChars="0" w:left="0"/>
        <w:autoSpaceDE/>
        <w:autoSpaceDN/>
        <w:bidi w:val="off"/>
        <w:widowControl/>
        <w:jc w:val="center"/>
        <w:spacing w:after="0" w:line="240"/>
        <w:textAlignment w:val="auto"/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</w:pPr>
      <w:r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  <w:t>ФГБОУ ВО «Тверской государственный университет»</w:t>
      </w:r>
    </w:p>
    <w:p>
      <w:pPr>
        <w:adjustRightInd/>
        <w:ind w:leftChars="0" w:left="0"/>
        <w:autoSpaceDE/>
        <w:autoSpaceDN/>
        <w:bidi w:val="off"/>
        <w:widowControl/>
        <w:jc w:val="center"/>
        <w:spacing w:after="0" w:line="240"/>
        <w:textAlignment w:val="auto"/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</w:pPr>
      <w:r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  <w:t>Исторический факультет</w:t>
      </w:r>
    </w:p>
    <w:p>
      <w:pPr>
        <w:adjustRightInd/>
        <w:ind w:leftChars="0" w:left="0"/>
        <w:autoSpaceDE/>
        <w:autoSpaceDN/>
        <w:bidi w:val="off"/>
        <w:widowControl/>
        <w:jc w:val="center"/>
        <w:spacing w:after="0" w:line="240"/>
        <w:textAlignment w:val="auto"/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</w:pPr>
      <w:r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  <w:t>Направление магистратуры «История»</w:t>
      </w:r>
    </w:p>
    <w:p>
      <w:pPr>
        <w:adjustRightInd/>
        <w:ind w:leftChars="0" w:left="0"/>
        <w:autoSpaceDE/>
        <w:autoSpaceDN/>
        <w:bidi w:val="off"/>
        <w:widowControl/>
        <w:jc w:val="center"/>
        <w:spacing w:after="0" w:line="240"/>
        <w:textAlignment w:val="auto"/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</w:pPr>
      <w:r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  <w:t xml:space="preserve">Программа специализированной подготовки </w:t>
      </w:r>
    </w:p>
    <w:p>
      <w:pPr>
        <w:adjustRightInd/>
        <w:ind w:leftChars="0" w:left="0"/>
        <w:autoSpaceDE/>
        <w:autoSpaceDN/>
        <w:bidi w:val="off"/>
        <w:widowControl/>
        <w:jc w:val="center"/>
        <w:spacing w:after="0" w:line="240"/>
        <w:textAlignment w:val="auto"/>
        <w:rPr>
          <w:rtl w:val="off"/>
        </w:rPr>
      </w:pPr>
      <w:r>
        <w:rPr>
          <w:lang w:val="ru-RU" w:eastAsia="ru-RU" w:bidi="ar-SA"/>
          <w:rFonts w:ascii="Times New Roman" w:eastAsia="Times New Roman" w:hAnsi="Times New Roman" w:cs="Times New Roman"/>
          <w:sz w:val="28"/>
          <w:szCs w:val="28"/>
          <w:snapToGrid/>
          <w:rtl w:val="off"/>
        </w:rPr>
        <w:t>«История культурного наследия России и Болгарии»</w:t>
      </w:r>
    </w:p>
    <w:p>
      <w:pPr>
        <w:jc w:val="center"/>
        <w:rPr>
          <w:rtl w:val="off"/>
        </w:rPr>
      </w:pPr>
    </w:p>
    <w:p>
      <w:pPr>
        <w:jc w:val="center"/>
        <w:rPr>
          <w:rtl w:val="off"/>
        </w:rPr>
      </w:pPr>
    </w:p>
    <w:p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rtl w:val="off"/>
        </w:rPr>
      </w:pPr>
    </w:p>
    <w:p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rtl w:val="off"/>
        </w:rPr>
      </w:pPr>
    </w:p>
    <w:p>
      <w:pPr>
        <w:jc w:val="center"/>
        <w:rPr>
          <w:rFonts w:ascii="Times New Roman" w:eastAsia="Times New Roman" w:hAnsi="Times New Roman"/>
          <w:color w:val="000000"/>
          <w:sz w:val="32"/>
          <w:szCs w:val="32"/>
          <w:rtl w:val="off"/>
        </w:rPr>
      </w:pPr>
      <w:r>
        <w:rPr>
          <w:rFonts w:ascii="Times New Roman" w:eastAsia="Times New Roman" w:hAnsi="Times New Roman"/>
          <w:color w:val="000000"/>
          <w:sz w:val="32"/>
          <w:szCs w:val="32"/>
          <w:rtl w:val="off"/>
        </w:rPr>
        <w:t>МАГИСТЕРСКАЯ ДИССЕРТАЦИЯ</w:t>
      </w:r>
    </w:p>
    <w:p>
      <w:pPr>
        <w:jc w:val="center"/>
        <w:rPr>
          <w:rFonts w:ascii="Times New Roman" w:eastAsia="Times New Roman" w:hAnsi="Times New Roman"/>
          <w:color w:val="000000"/>
          <w:sz w:val="32"/>
          <w:szCs w:val="32"/>
          <w:rtl w:val="off"/>
        </w:rPr>
      </w:pPr>
      <w:r>
        <w:rPr>
          <w:rFonts w:ascii="Times New Roman" w:eastAsia="Times New Roman" w:hAnsi="Times New Roman"/>
          <w:color w:val="000000"/>
          <w:sz w:val="32"/>
          <w:szCs w:val="32"/>
          <w:rtl w:val="off"/>
        </w:rPr>
        <w:t>А. С. Уваров: деятельность по сохранению культурного наследия России</w:t>
      </w:r>
    </w:p>
    <w:p>
      <w:pPr>
        <w:jc w:val="center"/>
        <w:rPr>
          <w:rtl w:val="off"/>
        </w:rPr>
      </w:pPr>
    </w:p>
    <w:p>
      <w:pPr>
        <w:jc w:val="right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right"/>
        <w:tabs>
          <w:tab w:val="left" w:pos="581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rtl w:val="off"/>
        </w:rPr>
      </w:pPr>
    </w:p>
    <w:p>
      <w:pPr>
        <w:jc w:val="right"/>
        <w:tabs>
          <w:tab w:val="left" w:pos="581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rtl w:val="off"/>
        </w:rPr>
      </w:pPr>
    </w:p>
    <w:p>
      <w:pPr>
        <w:jc w:val="right"/>
        <w:tabs>
          <w:tab w:val="left" w:pos="581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rtl w:val="off"/>
        </w:rPr>
      </w:pPr>
    </w:p>
    <w:p>
      <w:pPr>
        <w:jc w:val="center"/>
        <w:tabs>
          <w:tab w:val="left" w:pos="5812"/>
          <w:tab w:val="left" w:pos="6279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rtl w:val="off"/>
        </w:rPr>
        <w:t xml:space="preserve">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>Автор:</w:t>
      </w:r>
    </w:p>
    <w:p>
      <w:pPr>
        <w:outlineLvl w:val="0"/>
        <w:jc w:val="center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</w:rPr>
        <w:t>Сновальникова Н. С.,</w:t>
      </w:r>
    </w:p>
    <w:p>
      <w:pPr>
        <w:outlineLvl w:val="0"/>
        <w:jc w:val="center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 xml:space="preserve">                      </w:t>
      </w:r>
      <w:r>
        <w:rPr>
          <w:lang w:val="en-US"/>
          <w:rFonts w:ascii="Times New Roman" w:hAnsi="Times New Roman" w:cs="Times New Roman"/>
          <w:noProof/>
          <w:sz w:val="28"/>
          <w:szCs w:val="28"/>
        </w:rPr>
        <w:t>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 xml:space="preserve"> магистратуры</w:t>
      </w:r>
    </w:p>
    <w:p>
      <w:pPr>
        <w:jc w:val="center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</w:rPr>
        <w:t>Научный руководитель:</w:t>
      </w:r>
    </w:p>
    <w:p>
      <w:pPr>
        <w:jc w:val="center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и. н.,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>профессор</w:t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rtl w:val="off"/>
        </w:rPr>
        <w:t>Леонтьева Т. Г.</w:t>
      </w:r>
    </w:p>
    <w:p>
      <w:pPr>
        <w:jc w:val="right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left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left"/>
      </w:pPr>
    </w:p>
    <w:p>
      <w:pPr>
        <w:jc w:val="center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center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center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center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Тверь 2017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rtl w:val="off"/>
        </w:rPr>
      </w:pPr>
      <w:r>
        <w:rPr>
          <w:rFonts w:ascii="Times New Roman" w:hAnsi="Times New Roman" w:cs="Times New Roman"/>
          <w:b/>
          <w:sz w:val="28"/>
          <w:szCs w:val="28"/>
          <w:rtl w:val="off"/>
        </w:rPr>
        <w:t>ОГЛАВЛЕНИЕ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 </w:t>
      </w:r>
      <w:r>
        <w:rPr>
          <w:rFonts w:ascii="Times New Roman" w:hAnsi="Times New Roman" w:cs="Times New Roman"/>
          <w:sz w:val="28"/>
          <w:szCs w:val="28"/>
        </w:rPr>
        <w:t>Граф А. С. Уваров как исследователь культурного наследия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Государственная служба А. С. Уварова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Археологические раскопки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исследования памятников истории и культуры по древним русским городам и историческим местам 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 </w:t>
      </w:r>
      <w:r>
        <w:rPr>
          <w:rFonts w:ascii="Times New Roman" w:hAnsi="Times New Roman" w:cs="Times New Roman"/>
          <w:sz w:val="28"/>
          <w:szCs w:val="28"/>
        </w:rPr>
        <w:t>Деятельность графа А. С. Уварова по сохранению культурного наследия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 </w:t>
      </w:r>
      <w:r>
        <w:rPr>
          <w:rFonts w:ascii="Times New Roman" w:hAnsi="Times New Roman" w:cs="Times New Roman"/>
          <w:sz w:val="28"/>
          <w:szCs w:val="28"/>
        </w:rPr>
        <w:t>Создание Московского археологического общества  и императорского исторического музея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Взгляды современников на деятельность графа А. С. Уварова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ind w:leftChars="0" w:left="0"/>
        <w:jc w:val="both"/>
        <w:spacing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  <w:rtl w:val="off"/>
        </w:rPr>
      </w:pPr>
    </w:p>
    <w:p>
      <w:pPr>
        <w:ind w:leftChars="0" w:left="0" w:hanging="0" w:firstLineChars="261" w:firstLine="709"/>
        <w:jc w:val="center"/>
        <w:spacing w:after="0" w:line="360"/>
        <w:rPr>
          <w:rFonts w:ascii="Times New Roman" w:eastAsia="Times New Roman" w:hAnsi="Times New Roman" w:cs="Times New Roman"/>
          <w:b/>
          <w:sz w:val="28"/>
          <w:szCs w:val="28"/>
          <w:rtl w:val="off"/>
        </w:rPr>
      </w:pPr>
    </w:p>
    <w:p>
      <w:pPr>
        <w:ind w:leftChars="0" w:left="0" w:hanging="0" w:firstLineChars="261" w:firstLine="709"/>
        <w:jc w:val="center"/>
        <w:spacing w:after="0" w:line="360"/>
        <w:rPr>
          <w:rFonts w:ascii="Times New Roman" w:eastAsia="Times New Roman" w:hAnsi="Times New Roman" w:cs="Times New Roman"/>
          <w:b/>
          <w:sz w:val="28"/>
          <w:szCs w:val="28"/>
          <w:rtl w:val="off"/>
        </w:rPr>
      </w:pPr>
    </w:p>
    <w:p>
      <w:pPr>
        <w:ind w:leftChars="0" w:left="0" w:hanging="0" w:firstLineChars="261" w:firstLine="709"/>
        <w:jc w:val="center"/>
        <w:spacing w:after="0" w:line="360"/>
        <w:rPr>
          <w:rFonts w:ascii="Times New Roman" w:eastAsia="Times New Roman" w:hAnsi="Times New Roman" w:cs="Times New Roman"/>
          <w:b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 w:val="off"/>
        </w:rPr>
        <w:t>ВВЕДЕНИЕ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>Актуальность темы исследования обусловлена современной ситуацией в мировом сообществе, которая характеризуется всесторонним кризисом, имеющим тенденцию к углублению. Кризисные явления, свойственные техногенной цивилизации и проявляющиеся в региональных и глобальных конфликтах и войнах, проблемах мировой экономики и экологии, образования и воспитания, науки и искусства, находят свое непосредственное отражение и в сфере культуры. Утрата духовно-нравственных ориентиров человека ставит под угрозу исчезновения национальные и мировые культурные ценности. Обеспокоенность подобной ситуацией выражают многие деятели культуры как у нас в стране, так и за рубежом, предлагая разные пути решения мировых проблем. ХХI век требует новых подходов к их решению, новых ориентиров, выбора равновесных сил с опорой на фундаментальные основания человеческого бытия, которые смогут противостоять разрушительным тенденциям.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>Актуальность данной работы определяется значимостью идей А. С. Уварова для анализа принципов существования современного мирового сообщества, гармоничного взаимодействия западных и восточных ориентаций миропонимания, формирования системы нравственных ценностей для самоидентификации человека в условиях глобализации. А. С. Увров был тем мыслителем, который глубоко осознавал причины кризисных явлений и обосновал пути выхода из них, которые были связаны с культурой и сохранением культурного наследия. Тем не менее, современная ситуация с сохранением культурного наследия в нашей стране и мире заставляет вновь обратиться к замыслу А. С. Уварова, продумывавшему все аспекты защиты культурных ценностей.</w:t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>ом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исследования</w:t>
      </w: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 xml:space="preserve"> в данной работе является  граф А. С. Уваров как исследователь культурного наследия.</w:t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 xml:space="preserve">т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- деятельность по сохранению культурного наследия А. С. Уварова.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>Теоретические вопросы осмысления культурного наследия неотделимы от практических мер. В XVII-XIX вв. в России исследование вопросов, связанных с осмыслением и сохранением культурного наследия, во многом предвосхитили исследования ученых и художников, которые предметом своих научных интересов избрали объекты национального достояния. Среди них - А. С. Уваров, А.Б. Лобанов-Ростовский и др. Первые проекты памятникоохранных документов содержали в себе как практические рекомендации по сохранению объектов культурного наследия, так и их классификацию. Граф А.С. Уваров являлся инициатором и организатором первых археологических съездов, под его руководством был подготовлен первый проект закона об охране памятников. В этом документе выделены два направления охраны наследия: выявление, учет и подготовка списков памятников по России; способы сохранения и предотвращения от повреждений памятников старины. В проекте предлагалась классификация памятников, которая с рядом дополнений применяется специалистами и в настоящее время. Под руководством князя А.Б. Лобанова-Ростовского проект закона А.С. Уварова был доработан, а также подготовлен новый документ, получивший название «Проект правил о сохранении исторических памятников» (1877). В нем были сформулированы критерии, на основании которых объекты включались в охранные списки. Новый проект, в отличие от первого, отводил приоритетную роль в сохранении древних, памятников не ученым, а государственным ведомствам.</w:t>
      </w:r>
      <w:r>
        <w:rPr>
          <w:rStyle w:val="aff3"/>
          <w:rFonts w:ascii="Times New Roman" w:eastAsia="Times New Roman" w:hAnsi="Times New Roman" w:cs="Times New Roman"/>
          <w:b w:val="0"/>
          <w:sz w:val="28"/>
          <w:szCs w:val="28"/>
          <w:rtl w:val="off"/>
        </w:rPr>
        <w:footnoteReference w:id="1"/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>Первое пособие по охране культурного наследия начала XXI века, где систематизированы и рассмотрены знания, касающиеся правовых, исторических, теоретических проблем охраны культурного наследия, предложено М.А. Поляковой. Автор впервые систематизировал разрозненные знания о культурном наследии разных лет и рассмотрел их в работе «Охрана культурного наследия России».</w:t>
      </w:r>
      <w:r>
        <w:rPr>
          <w:rStyle w:val="aff3"/>
          <w:rFonts w:ascii="Times New Roman" w:eastAsia="Times New Roman" w:hAnsi="Times New Roman" w:cs="Times New Roman"/>
          <w:b w:val="0"/>
          <w:sz w:val="28"/>
          <w:szCs w:val="28"/>
          <w:rtl w:val="off"/>
        </w:rPr>
        <w:footnoteReference w:id="2"/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 w:val="0"/>
          <w:sz w:val="28"/>
          <w:szCs w:val="28"/>
          <w:rtl w:val="off"/>
        </w:rPr>
        <w:t>работы определить значение в контексте представлений А. С. Уварова: деятельность по сохранению культурного наследия России.</w:t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Для достижение поставленной цели необходимо решить следующие задачи:</w:t>
      </w:r>
    </w:p>
    <w:p>
      <w:pPr>
        <w:pStyle w:val="af3"/>
        <w:ind w:leftChars="0" w:left="0" w:hanging="0" w:firstLineChars="261" w:firstLine="709"/>
        <w:jc w:val="both"/>
        <w:numPr>
          <w:ilvl w:val="0"/>
          <w:numId w:val="1"/>
        </w:numPr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Осветить государственную службу А. С. Уварова</w:t>
      </w:r>
    </w:p>
    <w:p>
      <w:pPr>
        <w:pStyle w:val="af3"/>
        <w:ind w:leftChars="0" w:left="0" w:hanging="0" w:firstLineChars="261" w:firstLine="709"/>
        <w:jc w:val="both"/>
        <w:numPr>
          <w:ilvl w:val="0"/>
          <w:numId w:val="1"/>
        </w:numPr>
        <w:spacing w:after="0" w: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Проанализировать археологические раскопки</w:t>
      </w:r>
      <w:r>
        <w:rPr>
          <w:rStyle w:val="ad"/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 xml:space="preserve"> и исследования памятников истории и культуры по древним русским городам и историческим местам </w:t>
      </w:r>
    </w:p>
    <w:p>
      <w:pPr>
        <w:pStyle w:val="af3"/>
        <w:ind w:leftChars="0" w:left="0" w:hanging="0" w:firstLineChars="261" w:firstLine="709"/>
        <w:jc w:val="both"/>
        <w:numPr>
          <w:ilvl w:val="0"/>
          <w:numId w:val="1"/>
        </w:numPr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Обосновать необходимость реализации в создани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Московского археологического обществ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а</w:t>
      </w:r>
    </w:p>
    <w:p>
      <w:pPr>
        <w:pStyle w:val="af3"/>
        <w:ind w:leftChars="0" w:left="0" w:hanging="0" w:firstLineChars="261" w:firstLine="709"/>
        <w:jc w:val="both"/>
        <w:numPr>
          <w:ilvl w:val="0"/>
          <w:numId w:val="1"/>
        </w:numPr>
        <w:spacing w:after="0" w:line="360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Выявить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влияние императорского исторического музея и взглядов современников</w:t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Источниковая база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обширна и охватывает разные аспекты научной, творческой и общественной деятельности А. С. Уварова. Среди использованных источников:</w:t>
      </w:r>
    </w:p>
    <w:p>
      <w:pPr>
        <w:pStyle w:val="af3"/>
        <w:ind w:leftChars="0" w:left="0" w:hanging="0" w:firstLineChars="261" w:firstLine="709"/>
        <w:jc w:val="both"/>
        <w:numPr>
          <w:ilvl w:val="0"/>
          <w:numId w:val="2"/>
        </w:numPr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опубликованные труды А. С. Уварова, а также членов его семьи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rtl w:val="off"/>
        </w:rPr>
        <w:t>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4"/>
      </w:r>
    </w:p>
    <w:p>
      <w:pPr>
        <w:pStyle w:val="af3"/>
        <w:ind w:leftChars="0" w:left="0" w:hanging="0" w:firstLineChars="261" w:firstLine="709"/>
        <w:jc w:val="both"/>
        <w:numPr>
          <w:ilvl w:val="0"/>
          <w:numId w:val="2"/>
        </w:numPr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отдельные издания, в том числе, монографии, посвященные научной и общественной деятельности А. С. Уваров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а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5"/>
      </w:r>
    </w:p>
    <w:p>
      <w:pPr>
        <w:pStyle w:val="af3"/>
        <w:ind w:leftChars="0" w:left="0" w:hanging="0" w:firstLineChars="261" w:firstLine="709"/>
        <w:jc w:val="both"/>
        <w:numPr>
          <w:ilvl w:val="0"/>
          <w:numId w:val="2"/>
        </w:numPr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современные исследования по 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 xml:space="preserve">данной </w:t>
      </w:r>
      <w:r>
        <w:rPr>
          <w:rFonts w:ascii="Times New Roman" w:eastAsia="Times New Roman" w:hAnsi="Times New Roman" w:cs="Times New Roman"/>
          <w:sz w:val="28"/>
          <w:szCs w:val="28"/>
        </w:rPr>
        <w:t>теме.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rtl w:val="off"/>
        </w:rPr>
        <w:t>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7"/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d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Теоретико-методологической основой исследования</w:t>
      </w:r>
      <w:r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 принцип научного историзма, позволяющий провести изучение деятельности А. С. Уварова, связанной с сохранением культурного наследия, в контексте исторического времени, социальных, экономических и политических условий, дающих возможность рассмотреть явления и факты в процессе их исторического развития, а также во взаимосвязи с деятельностью конкретных личностей. В диссертации также использовались: историко-генетический метод, позволивший выявить мировоззренческие, социокультурные и методологические взгляды А. С. Уварова на значение культурного наследия; системный и функциональный подходы, позволившие вычленить структурные элементы культурно-общественной деятельности А. С. Уварова и его взглядов на культуру. Сочетание сравнительно-исторического и аналитического методов позволило выявить главное и второстепенное, воссоздать исторические события в целостности их восприятия. Использовались также теоретические обоснования и выводы, содержащиеся в трудах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Н. А. Беспалова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А. К. Кабанова,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В. А. Лапшина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Н. Б. Стрижова,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А. Ярцева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 Документальные источники и научные факты позволили дополнить фундаментальную базу исследований.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8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rtl w:val="off"/>
        </w:rPr>
        <w:t>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9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rtl w:val="off"/>
        </w:rPr>
        <w:t>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10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rtl w:val="off"/>
        </w:rPr>
        <w:t>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11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rtl w:val="off"/>
        </w:rPr>
        <w:t>.</w:t>
      </w:r>
      <w:r>
        <w:rPr>
          <w:rStyle w:val="aff3"/>
          <w:rFonts w:ascii="Times New Roman" w:eastAsia="Times New Roman" w:hAnsi="Times New Roman" w:cs="Times New Roman"/>
          <w:sz w:val="28"/>
          <w:szCs w:val="28"/>
        </w:rPr>
        <w:footnoteReference w:id="12"/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d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Теоретическая значимость исследования</w:t>
      </w:r>
      <w:r>
        <w:rPr>
          <w:rStyle w:val="ad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состоит в том, что в результате изучения фактического материала выявлена система взглядов А. С. Уварова на культурное наследие, их теоретическая основа. Многоаспектный анализ данной системы взглядов, отраженных в литературных текстах и практической деятельности, позволил провести моделирование общей структуры социально-коммуникативного процесса, получить целостное представление о принципах сохранения культурного наследия, связанных, прежде всего, с пониманием культуры. Предложенный подход позволяет уточнить принципиально важные моменты в теории культуры, связанные с представлением о культурных ценностях с их аспектом «непреходящего», его влияния на самосознание человека и работу механизма культурной преемственности. Основные выводы и обобщения диссертации имеют как мировоззренческое, так и методологическое значение для понимания роли культурного наследия в формировании человеческого бытия на всех уровнях взаимодействий, факторов развития культуры.</w:t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Практическая значимость исследования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состоит в том, что результаты исследования могут быть использованы для дальнейших исследований по теме, создания обобщающих трудов по теории, истории и практике охраны культурного наследия, а также теории культуры, философии культуры, социологии культуры, культурной антропологии, истории мировой и отечественной культуры, межкультурной коммуникации, разработке лекционных циклов культурологического и исторического характера. Результаты исследования могут быть востребованы на разных уровнях для решения актуальных вопросов, связанных с сохранением памятников мировой цивилизации.</w:t>
      </w:r>
    </w:p>
    <w:p>
      <w:pPr>
        <w:ind w:leftChars="0" w:left="0" w:hanging="0" w:firstLineChars="261" w:firstLine="709"/>
        <w:jc w:val="both"/>
        <w:spacing w:after="0" w:line="360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Диссертация состоит из введения, двух глав, заключения, списка использованных источников и литературы.</w:t>
      </w:r>
    </w:p>
    <w:p>
      <w:pPr>
        <w:ind w:leftChars="0" w:left="0" w:hanging="0" w:firstLineChars="261" w:firstLine="709"/>
        <w:jc w:val="both"/>
        <w:spacing w:after="0" w:line="360"/>
      </w:pPr>
      <w:r>
        <w:rPr>
          <w:rFonts w:ascii="Times New Roman" w:eastAsia="Times New Roman" w:hAnsi="Times New Roman" w:cs="Times New Roman"/>
          <w:sz w:val="28"/>
          <w:szCs w:val="28"/>
          <w:rtl w:val="off"/>
        </w:rPr>
        <w:t xml:space="preserve">Хронологические исследования охватывают период жизни А. С. Уварова - с </w:t>
      </w:r>
      <w:r>
        <w:rPr>
          <w:rFonts w:ascii="Times New Roman" w:eastAsia="Times New Roman" w:hAnsi="Times New Roman" w:cs="Times New Roman"/>
          <w:sz w:val="28"/>
          <w:szCs w:val="28"/>
        </w:rPr>
        <w:t>28 февраля (12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1825 год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 xml:space="preserve">а по </w:t>
      </w:r>
      <w:r>
        <w:rPr>
          <w:rFonts w:ascii="Times New Roman" w:eastAsia="Times New Roman" w:hAnsi="Times New Roman" w:cs="Times New Roman"/>
          <w:sz w:val="28"/>
          <w:szCs w:val="28"/>
        </w:rPr>
        <w:t>29 декабря 1884 г. (10 января 1885 года)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 xml:space="preserve">.  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sz w:val="28"/>
          <w:szCs w:val="28"/>
          <w:rtl w:val="off"/>
        </w:rPr>
        <w:t>Культурное наследие - это информационная подсистема культуры, обладающая значимостью (положительной или отрицательной) и основанная на опыте предшествующих поколений. Операциональной единицей культурного наследия является объект культурного наследия, обладающий ценностью.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sz w:val="28"/>
          <w:szCs w:val="28"/>
          <w:rtl w:val="off"/>
        </w:rPr>
        <w:t>Изменчивость культурного наследия проявляется в контексте необходимости забвения прежних ценностных оснований культуры и появления новых в результате действия механизмов обратной связи. Изменчивость стимулирует как созидание, так и разрушение системы культурного наследия, тем самым обусловливая развитие данной системы.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sz w:val="28"/>
          <w:szCs w:val="28"/>
          <w:rtl w:val="off"/>
        </w:rPr>
        <w:t>Механизм отбора объектов культурного наследия обусловлен оценкой информационно-ценностной составляющей культурного наследия. Ценность служит принципом отбора компонентов культурного наследия.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sz w:val="28"/>
          <w:szCs w:val="28"/>
          <w:rtl w:val="off"/>
        </w:rPr>
        <w:t>Ограничение разнообразия элементов системы культурного наследия в результате механизма отбора приводит к процессам «всплывание памяти» и «утрата памяти» как сворачивание, перекодировка информации.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 w:val="off"/>
        </w:rPr>
        <w:t>Бытие системы культурного наследия рассмотрено в соответствии с этапами развития культуры России. Переход от одного этапа к другому обусловлен ценностным разрывом, спровоцированным энтропией социокультурного характера и приводящим к бифуркации, в результате чего культурное наследие утрачивает прежнее ценностное качество. Выход на аттрактор обусловлен утверждением новой системы ценностей.</w:t>
      </w:r>
    </w:p>
    <w:p>
      <w:pPr>
        <w:jc w:val="center"/>
      </w:pPr>
    </w:p>
    <w:sectPr>
      <w:pgSz w:w="11906" w:h="16838"/>
      <w:pgMar w:top="1005" w:right="1134" w:bottom="851" w:left="1134" w:header="709" w:footer="709" w:gutter="0"/>
      <w:cols w:space="708"/>
      <w:docGrid w:linePitch="360"/>
      <w:headerReference w:type="default" r:id="rId1"/>
      <w:headerReference w:type="first" r:id="rId2"/>
      <w:footerReference w:type="first" r:id="rId3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Arial">
    <w:panose1 w:val="020B0604020202020204"/>
    <w:notTrueType w:val="true"/>
    <w:sig w:usb0="E0002EFF" w:usb1="C0007843" w:usb2="00000009" w:usb3="00000001" w:csb0="400001FF" w:csb1="FFFF0000"/>
  </w:font>
  <w:font w:name="Symbol">
    <w:panose1 w:val="05050102010706020507"/>
    <w:charset w:val="00"/>
    <w:notTrueType w:val="true"/>
    <w:sig w:usb0="00000001" w:usb1="00000001" w:usb2="00000001" w:usb3="00000001" w:csb0="80000000" w:csb1="00000001"/>
  </w:font>
  <w:font w:name="Courier New">
    <w:panose1 w:val="02070309020205020404"/>
    <w:charset w:val="00"/>
    <w:notTrueType w:val="true"/>
    <w:sig w:usb0="E0002EFF" w:usb1="C0007843" w:usb2="00000009" w:usb3="00000001" w:csb0="400001FF" w:csb1="FFFF0000"/>
  </w:font>
  <w:font w:name="Wingdings">
    <w:panose1 w:val="05000000000000000000"/>
    <w:charset w:val="00"/>
    <w:notTrueType w:val="tru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ffff7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Щербатов И.С. Граф А.С.Уваров как основатель Исторического музея //Древности: Труды Московского археологического общества.  М., 1911.  Т. 23, вып. 1. С. 7 - 11.</w:t>
      </w:r>
    </w:p>
  </w:footnote>
  <w:footnote w:id="2">
    <w:p>
      <w:pPr>
        <w:ind w:leftChars="0" w:left="0"/>
        <w:jc w:val="both"/>
        <w:spacing w:after="0" w:line="259" w:lineRule="auto"/>
        <w:rPr/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Полякова, М. А. Охрана культурного наследия России : учеб. пособие для вузов /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М. А. Полякова. — М. : Дрофа, 2005.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С. </w:t>
      </w:r>
      <w:r>
        <w:rPr>
          <w:rFonts w:ascii="Times New Roman" w:eastAsia="Times New Roman" w:hAnsi="Times New Roman" w:hint="default"/>
          <w:sz w:val="24"/>
          <w:szCs w:val="24"/>
        </w:rPr>
        <w:t>271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</w:p>
  </w:footnote>
  <w:footnote w:id="3">
    <w:p>
      <w:pPr>
        <w:pStyle w:val="affff7"/>
        <w:jc w:val="both"/>
        <w:rPr/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Граф Алексей Сергеевич Уваров: Материалы для биографии и статьи по теоретическим вопросам: Изданы ко дню 25-летия со дня кончины.  М., 1910.</w:t>
      </w:r>
    </w:p>
  </w:footnote>
  <w:footnote w:id="4">
    <w:p>
      <w:pPr>
        <w:pStyle w:val="affff7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Барсуков И.П. Жизнь и труды М.П.Погодина. М.- Спб., 1888-1910. Кн. 1-22. С. 356.</w:t>
      </w:r>
    </w:p>
  </w:footnote>
  <w:footnote w:id="5">
    <w:p>
      <w:pPr>
        <w:pStyle w:val="affff7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Анучин Д.Н. Граф Алексей Сергеевич Уваров // Труды VI Археологического съезда. М., 1886.  Т.1.  С. 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>439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</w:footnote>
  <w:footnote w:id="6">
    <w:p>
      <w:pPr>
        <w:ind w:leftChars="0" w:left="0"/>
        <w:jc w:val="both"/>
        <w:spacing w:after="0"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Полякова М. А., Фролов А. И. Ревнители московских древностей: Алексей Сергеевич Уваров. 1825—1884. Прасковья Сергеевна Уварова. 1840—1924 // Краеведы Москвы. (Историки и знатоки Москвы): Сб. док. в 3-х книгах; Кн. 2 / Сост.: Л. В. Иванов, С. О. Шмидт. М.: Книжный сад, 1995. С. 25 – 145.</w:t>
      </w:r>
    </w:p>
  </w:footnote>
  <w:footnote w:id="7">
    <w:p>
      <w:pPr>
        <w:jc w:val="both"/>
        <w:spacing w: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Храпова Л.С. Личность П.С. Уваровой как она представляется по ее трудам и свидетельствам современников // Уваровские чтения. Муром., 1990. 234. с.</w:t>
      </w:r>
    </w:p>
    <w:p>
      <w:pPr>
        <w:pStyle w:val="affff7"/>
        <w:jc w:val="both"/>
        <w:rPr>
          <w:rFonts w:ascii="Times New Roman" w:eastAsia="Times New Roman" w:hAnsi="Times New Roman" w:hint="default"/>
          <w:sz w:val="24"/>
          <w:szCs w:val="24"/>
        </w:rPr>
      </w:pPr>
    </w:p>
  </w:footnote>
  <w:footnote w:id="8">
    <w:p>
      <w:pPr>
        <w:pStyle w:val="affff7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Беспалов Н. А. А. С.Уваров — основоположник русской археологии // Памятники истории и культуры. Ярославль, 1988. Вып. 3. С. 29 - 35.</w:t>
      </w:r>
    </w:p>
  </w:footnote>
  <w:footnote w:id="9">
    <w:p>
      <w:pPr>
        <w:ind w:leftChars="0" w:left="0"/>
        <w:jc w:val="both"/>
        <w:spacing w:after="0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Кабанов А.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К., Катаев И.М. Описание актов графа А.С.Уварова: акты исторические. - М., 1905. С.  36 - 67.</w:t>
      </w:r>
    </w:p>
  </w:footnote>
  <w:footnote w:id="10">
    <w:p>
      <w:pPr>
        <w:pStyle w:val="affff7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Лапшин В. А. Оценка деятельности А.С. Уварова в советской археологической литературе (динамика критики) // Финно-угры и славяне. Сыктывкар., 1986. С. 34 – 89.</w:t>
      </w:r>
    </w:p>
  </w:footnote>
  <w:footnote w:id="11">
    <w:p>
      <w:pPr>
        <w:ind w:leftChars="0" w:left="0"/>
        <w:jc w:val="both"/>
        <w:spacing w:after="0"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Стрижова Н.Б. Архив А.С. и П.С. Уваровых в отделе письменных источников Государственного исторического музея // Уваровские чтения: Тезисы докладов первых Уваровских чтений.  Муром., 1990.  С. 13 - 15.</w:t>
      </w:r>
    </w:p>
  </w:footnote>
  <w:footnote w:id="12">
    <w:p>
      <w:pPr>
        <w:jc w:val="both"/>
        <w:spacing w:line="240"/>
        <w:rPr>
          <w:rFonts w:ascii="Times New Roman" w:hAnsi="Times New Roman" w:cs="Times New Roman"/>
          <w:sz w:val="24"/>
          <w:szCs w:val="24"/>
        </w:rPr>
      </w:pPr>
      <w:r>
        <w:rPr>
          <w:rStyle w:val="aff3"/>
          <w:rFonts w:ascii="Times New Roman" w:eastAsia="Times New Roman" w:hAnsi="Times New Roman" w:hint="default"/>
          <w:sz w:val="24"/>
          <w:szCs w:val="24"/>
        </w:rPr>
        <w:footnoteRef/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Ярцев А. Подмосковные прогулки: Очерки и наблюдения: Прогулка 25. Поездка в Поречье-Уваровское // Московские ведомости. 1904.  N 168; N 175; N 182. — 4(17 июля). — С. 3; N 189. - И (24) июля. - С. 3; N 196. -18 (31 июля). — С. 3—4; N 203. — 25 июля (7 августа). - С. 3—4; N 210. — 1 (14) августа. — С</w:t>
      </w:r>
      <w:r>
        <w:rPr>
          <w:rFonts w:ascii="Times New Roman" w:hAnsi="Times New Roman" w:cs="Times New Roman"/>
          <w:sz w:val="24"/>
          <w:szCs w:val="24"/>
        </w:rPr>
        <w:t>. 3; N 217. - 8 (21). - С. 3; N 224. - 15 (28 августа). — С. 3; N231. — 22 августа (4 сентября). — С. 3; N 238. — 29 августа (11 сентября). — С. 3—4.</w:t>
      </w:r>
    </w:p>
    <w:p>
      <w:pPr>
        <w:pStyle w:val="affff7"/>
        <w:rPr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Top of Page)"/>
        <w:docPartUnique/>
      </w:docPartObj>
    </w:sdtPr>
    <w:sdtContent>
      <w:p>
        <w:pPr>
          <w:pStyle w:val="af8"/>
          <w:jc w:val="center"/>
          <w:rPr>
            <w:rFonts w:ascii="Times New Roman" w:eastAsia="Times New Roman" w:hAnsi="Times New Roman" w:cs="Arial"/>
            <w:sz w:val="24"/>
            <w:szCs w:val="24"/>
          </w:rPr>
        </w:pPr>
        <w:r>
          <w:rPr>
            <w:rFonts w:ascii="Times New Roman" w:eastAsia="Times New Roman" w:hAnsi="Times New Roman" w:cs="Arial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Arial"/>
            <w:sz w:val="24"/>
            <w:szCs w:val="24"/>
          </w:rPr>
          <w:instrText xml:space="preserve"> PAGE   \* MERGEFORMAT </w:instrText>
        </w:r>
        <w:r>
          <w:rPr>
            <w:rFonts w:ascii="Times New Roman" w:eastAsia="Times New Roman" w:hAnsi="Times New Roman" w:cs="Arial"/>
            <w:sz w:val="24"/>
            <w:szCs w:val="24"/>
          </w:rPr>
          <w:fldChar w:fldCharType="separate"/>
        </w:r>
        <w:r>
          <w:rPr>
            <w:rFonts w:ascii="Times New Roman" w:eastAsia="Times New Roman" w:hAnsi="Times New Roman" w:cs="Arial"/>
            <w:noProof/>
            <w:sz w:val="24"/>
            <w:szCs w:val="24"/>
          </w:rPr>
          <w:t>1</w:t>
        </w:r>
        <w:r>
          <w:rPr>
            <w:rFonts w:ascii="Times New Roman" w:eastAsia="Times New Roman" w:hAnsi="Times New Roman" w:cs="Arial"/>
            <w:sz w:val="24"/>
            <w:szCs w:val="24"/>
          </w:rPr>
          <w:fldChar w:fldCharType="end"/>
        </w:r>
      </w:p>
      <w:p/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6d027d7"/>
    <w:multiLevelType w:val="hybridMultilevel"/>
    <w:tmpl w:val="23ceee5a"/>
    <w:lvl w:ilvl="0" w:tplc="2b92e9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f7b4b"/>
    <w:multiLevelType w:val="hybridMultilevel"/>
    <w:tmpl w:val="9780b676"/>
    <w:lvl w:ilvl="0" w:tplc="2b92e9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9">
    <w:name w:val="Верхний колонтитул Знак"/>
    <w:basedOn w:val="a2"/>
    <w:link w:val="header"/>
  </w:style>
  <w:style w:type="paragraph" w:styleId="affff7">
    <w:name w:val="footnote text"/>
    <w:basedOn w:val="a1"/>
    <w:link w:val="Normal"/>
    <w:pPr>
      <w:spacing w:after="0" w:line="240" w:lineRule="auto"/>
    </w:pPr>
    <w:rPr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paragraph" w:styleId="af8">
    <w:name w:val="header"/>
    <w:basedOn w:val="a1"/>
    <w:link w:val="Верхний колонтитул Знак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basedOn w:val="a1"/>
    <w:qFormat/>
    <w:pPr>
      <w:ind w:left="720"/>
      <w:contextualSpacing/>
    </w:pPr>
  </w:style>
  <w:style w:type="character" w:styleId="aff3">
    <w:name w:val="footnote reference"/>
    <w:basedOn w:val="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footer" Target="footer1.xml" /><Relationship Id="rId4" Type="http://schemas.openxmlformats.org/officeDocument/2006/relationships/footnotes" Target="footnotes.xml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Relationship Id="rId1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pc_asus</cp:lastModifiedBy>
  <cp:revision>1</cp:revision>
  <dcterms:created xsi:type="dcterms:W3CDTF">2017-12-21T17:16:47Z</dcterms:created>
  <dcterms:modified xsi:type="dcterms:W3CDTF">2017-12-26T20:20:40Z</dcterms:modified>
  <cp:version>0900.0000.01</cp:version>
</cp:coreProperties>
</file>