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ABE7" w14:textId="34BFB96D" w:rsidR="007A6AF1" w:rsidRPr="008E0279" w:rsidRDefault="007D782E" w:rsidP="007D782E">
      <w:r w:rsidRPr="008E0279">
        <w:t>УДК 339.543.4</w:t>
      </w:r>
    </w:p>
    <w:p w14:paraId="3A395E98" w14:textId="35369F8E" w:rsidR="007D782E" w:rsidRDefault="00E8741B" w:rsidP="007D782E">
      <w:pPr>
        <w:jc w:val="center"/>
        <w:rPr>
          <w:b/>
          <w:bCs/>
        </w:rPr>
      </w:pPr>
      <w:r w:rsidRPr="008E0279">
        <w:rPr>
          <w:b/>
          <w:bCs/>
        </w:rPr>
        <w:t xml:space="preserve">ОСОБЕННОСТИ И ТЕХНОЛОГИЯ КЛАССИФИКАЦИИ </w:t>
      </w:r>
      <w:r w:rsidR="0092330C" w:rsidRPr="008E0279">
        <w:rPr>
          <w:b/>
          <w:bCs/>
        </w:rPr>
        <w:t>МИНЕРАЛЬНОГО ТОПЛИВА</w:t>
      </w:r>
      <w:r w:rsidRPr="008E0279">
        <w:rPr>
          <w:b/>
          <w:bCs/>
        </w:rPr>
        <w:t>, НЕФТИ И ПРОДУКТОВ ИХ ПЕРЕГОНКИ</w:t>
      </w:r>
    </w:p>
    <w:p w14:paraId="0B93DB70" w14:textId="77777777" w:rsidR="008E0279" w:rsidRPr="008E0279" w:rsidRDefault="008E0279" w:rsidP="007D782E">
      <w:pPr>
        <w:jc w:val="center"/>
        <w:rPr>
          <w:b/>
          <w:bCs/>
        </w:rPr>
      </w:pPr>
    </w:p>
    <w:p w14:paraId="75B4B267" w14:textId="3EC038C5" w:rsidR="008E0279" w:rsidRPr="008E0279" w:rsidRDefault="00E8741B" w:rsidP="008E0279">
      <w:pPr>
        <w:jc w:val="center"/>
        <w:rPr>
          <w:b/>
          <w:bCs/>
        </w:rPr>
      </w:pPr>
      <w:r w:rsidRPr="008E0279">
        <w:rPr>
          <w:b/>
          <w:bCs/>
        </w:rPr>
        <w:t>Е.В. Лужнева</w:t>
      </w:r>
    </w:p>
    <w:p w14:paraId="2FD66ED4" w14:textId="42560ACA" w:rsidR="00E8741B" w:rsidRDefault="00E8741B" w:rsidP="007D782E">
      <w:pPr>
        <w:jc w:val="center"/>
      </w:pPr>
      <w:r w:rsidRPr="008E0279">
        <w:t>ФГБОУ ВО «Тверской государственный университет», г. Тверь</w:t>
      </w:r>
    </w:p>
    <w:p w14:paraId="79E8BC93" w14:textId="77777777" w:rsidR="008E0279" w:rsidRPr="008E0279" w:rsidRDefault="008E0279" w:rsidP="007D782E">
      <w:pPr>
        <w:jc w:val="center"/>
      </w:pPr>
    </w:p>
    <w:p w14:paraId="7C619C76" w14:textId="732BE898" w:rsidR="007D782E" w:rsidRPr="00E8741B" w:rsidRDefault="00E8741B" w:rsidP="00C17C15">
      <w:pPr>
        <w:ind w:left="284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В статье рассматриваются аспекты классификации товаров 27 группы ТН ВЭД ЕАЭС, так как именно это сырье является особой составляющей, приносящей в российскую экономику средства. </w:t>
      </w:r>
      <w:r w:rsidR="0092330C">
        <w:rPr>
          <w:sz w:val="24"/>
          <w:szCs w:val="20"/>
        </w:rPr>
        <w:t xml:space="preserve">Целью работы является </w:t>
      </w:r>
      <w:r w:rsidR="00C17C15">
        <w:rPr>
          <w:sz w:val="24"/>
          <w:szCs w:val="20"/>
        </w:rPr>
        <w:t xml:space="preserve">выработка алгоритма классификации </w:t>
      </w:r>
      <w:r w:rsidR="0092330C">
        <w:rPr>
          <w:sz w:val="24"/>
          <w:szCs w:val="20"/>
        </w:rPr>
        <w:t>товаров 27 группы ТН ВЭД, а также</w:t>
      </w:r>
      <w:r w:rsidR="00C17C15" w:rsidRPr="00C17C15">
        <w:rPr>
          <w:sz w:val="24"/>
          <w:szCs w:val="20"/>
        </w:rPr>
        <w:t xml:space="preserve"> </w:t>
      </w:r>
      <w:r w:rsidR="00C17C15">
        <w:rPr>
          <w:sz w:val="24"/>
          <w:szCs w:val="20"/>
        </w:rPr>
        <w:t>изучение особенностей и технологий классификации</w:t>
      </w:r>
      <w:r w:rsidR="0092330C">
        <w:rPr>
          <w:sz w:val="24"/>
          <w:szCs w:val="20"/>
        </w:rPr>
        <w:t xml:space="preserve">. Достижение цели производится посредством анализа данных ФТС России и </w:t>
      </w:r>
      <w:r w:rsidR="009E3FB3">
        <w:rPr>
          <w:sz w:val="24"/>
          <w:szCs w:val="20"/>
        </w:rPr>
        <w:t>нормативно-правовых актов</w:t>
      </w:r>
      <w:r w:rsidR="0092330C">
        <w:rPr>
          <w:sz w:val="24"/>
          <w:szCs w:val="20"/>
        </w:rPr>
        <w:t>, что позволяет выработать такой алгоритм.</w:t>
      </w:r>
    </w:p>
    <w:p w14:paraId="1F4C5B4E" w14:textId="7C3CEC60" w:rsidR="007D782E" w:rsidRPr="0092330C" w:rsidRDefault="0092330C" w:rsidP="00C17C15">
      <w:pPr>
        <w:ind w:left="284"/>
        <w:jc w:val="both"/>
        <w:rPr>
          <w:i/>
          <w:iCs/>
          <w:sz w:val="24"/>
          <w:szCs w:val="20"/>
        </w:rPr>
      </w:pPr>
      <w:r w:rsidRPr="0092330C">
        <w:rPr>
          <w:b/>
          <w:bCs/>
          <w:i/>
          <w:iCs/>
          <w:sz w:val="24"/>
          <w:szCs w:val="20"/>
        </w:rPr>
        <w:t>Ключевые слова:</w:t>
      </w:r>
      <w:r w:rsidRPr="0092330C">
        <w:rPr>
          <w:i/>
          <w:iCs/>
          <w:sz w:val="24"/>
          <w:szCs w:val="20"/>
        </w:rPr>
        <w:t xml:space="preserve"> Внешняя торговля, ТН ВЭД, классификация, нефть, декларирование, таможенный контроль, сырье, экономика, налогообложение. </w:t>
      </w:r>
    </w:p>
    <w:p w14:paraId="0E990966" w14:textId="300EE3B9" w:rsidR="00CC3451" w:rsidRDefault="009D08B1" w:rsidP="008E0279">
      <w:pPr>
        <w:spacing w:line="240" w:lineRule="auto"/>
        <w:ind w:firstLine="709"/>
        <w:jc w:val="both"/>
      </w:pPr>
      <w:r>
        <w:t xml:space="preserve">Недостоверное декларирование </w:t>
      </w:r>
      <w:bookmarkStart w:id="0" w:name="_Hlk54438534"/>
      <w:r w:rsidR="00EF0C4C">
        <w:t>минерального топлива, нефти и продуктов их перегонки</w:t>
      </w:r>
      <w:bookmarkEnd w:id="0"/>
      <w:r>
        <w:t xml:space="preserve"> является одной из проблем в области таможенного дела. В последнее время наблюдается увеличение количества случаев заявления недостоверного кода, что может быть связано с увеличением ассортимента </w:t>
      </w:r>
      <w:r w:rsidR="00E72191">
        <w:t>нефтепродуктов,</w:t>
      </w:r>
      <w:r>
        <w:t xml:space="preserve"> со сложностями идентификации</w:t>
      </w:r>
      <w:r w:rsidR="00E72191">
        <w:t xml:space="preserve"> их</w:t>
      </w:r>
      <w:r>
        <w:t xml:space="preserve"> различных</w:t>
      </w:r>
      <w:r w:rsidR="002E2B87">
        <w:t xml:space="preserve"> подвидов и смесей</w:t>
      </w:r>
      <w:r>
        <w:t>.</w:t>
      </w:r>
    </w:p>
    <w:p w14:paraId="748237FD" w14:textId="6A74B7A5" w:rsidR="009D08B1" w:rsidRDefault="009D08B1" w:rsidP="008E0279">
      <w:pPr>
        <w:spacing w:line="240" w:lineRule="auto"/>
        <w:ind w:firstLine="709"/>
        <w:jc w:val="both"/>
      </w:pPr>
      <w:r>
        <w:t xml:space="preserve"> </w:t>
      </w:r>
      <w:r w:rsidR="008025B5">
        <w:t xml:space="preserve">Сложность классификации продуктов нефтепереработки связана с тем, что помимо 27 группы они могут быть отнесены к другим отделам товарной номенклатуры ВЭД. </w:t>
      </w:r>
      <w:r>
        <w:t xml:space="preserve">Более того, осуществление таможенного контроля затруднено </w:t>
      </w:r>
      <w:r w:rsidR="008025B5">
        <w:t>из-за</w:t>
      </w:r>
      <w:r>
        <w:t xml:space="preserve"> отсутствия в ТН ВЭД ЕАЭС четких критериев, позволяющих классифицировать товары, исходя из характеристик, установленных в ходе исследований. </w:t>
      </w:r>
      <w:r w:rsidR="0092330C">
        <w:t>Н</w:t>
      </w:r>
      <w:r>
        <w:t xml:space="preserve">а </w:t>
      </w:r>
      <w:r w:rsidR="00E72191">
        <w:t>различные продукты перегонки нефти</w:t>
      </w:r>
      <w:r>
        <w:t xml:space="preserve"> установлены различные ставки таможенных пошлин</w:t>
      </w:r>
      <w:r w:rsidR="006C3B4E">
        <w:t xml:space="preserve">, которые, что является одной </w:t>
      </w:r>
      <w:r w:rsidR="002B76CB">
        <w:t>из трудностей для идентификации и классификации, постоянно меняются</w:t>
      </w:r>
      <w:r>
        <w:t>.</w:t>
      </w:r>
    </w:p>
    <w:p w14:paraId="0A2E5591" w14:textId="587B8125" w:rsidR="00D073DE" w:rsidRDefault="009231B5" w:rsidP="008E0279">
      <w:pPr>
        <w:spacing w:line="240" w:lineRule="auto"/>
        <w:ind w:firstLine="708"/>
        <w:jc w:val="both"/>
        <w:rPr>
          <w:noProof/>
        </w:rPr>
      </w:pPr>
      <w:r>
        <w:rPr>
          <w:noProof/>
        </w:rPr>
        <w:t>В 27 группу ТН ВЭД включаются т</w:t>
      </w:r>
      <w:r w:rsidRPr="009231B5">
        <w:rPr>
          <w:noProof/>
        </w:rPr>
        <w:t>опливо минеральное, нефть и продукты их перегонки</w:t>
      </w:r>
      <w:r>
        <w:rPr>
          <w:noProof/>
        </w:rPr>
        <w:t xml:space="preserve">, </w:t>
      </w:r>
      <w:r w:rsidRPr="009231B5">
        <w:rPr>
          <w:noProof/>
        </w:rPr>
        <w:t>битуминозные вещества</w:t>
      </w:r>
      <w:r>
        <w:rPr>
          <w:noProof/>
        </w:rPr>
        <w:t>,</w:t>
      </w:r>
      <w:r w:rsidRPr="009231B5">
        <w:rPr>
          <w:noProof/>
        </w:rPr>
        <w:t xml:space="preserve"> минеральные воски</w:t>
      </w:r>
      <w:r>
        <w:rPr>
          <w:noProof/>
        </w:rPr>
        <w:t>.</w:t>
      </w:r>
      <w:r w:rsidR="00FB4CB0">
        <w:rPr>
          <w:noProof/>
        </w:rPr>
        <w:t xml:space="preserve"> Одной из основ</w:t>
      </w:r>
      <w:r>
        <w:rPr>
          <w:noProof/>
        </w:rPr>
        <w:t xml:space="preserve"> данной группы</w:t>
      </w:r>
      <w:r w:rsidR="00AD391C" w:rsidRPr="00AD391C">
        <w:rPr>
          <w:noProof/>
        </w:rPr>
        <w:t xml:space="preserve"> </w:t>
      </w:r>
      <w:r>
        <w:rPr>
          <w:noProof/>
        </w:rPr>
        <w:t xml:space="preserve">является нефть, которая, согласно </w:t>
      </w:r>
      <w:r w:rsidRPr="009231B5">
        <w:rPr>
          <w:noProof/>
        </w:rPr>
        <w:t>ТР ЕАЭС 045/2017</w:t>
      </w:r>
      <w:r w:rsidR="00AD391C" w:rsidRPr="00AD391C">
        <w:rPr>
          <w:noProof/>
        </w:rPr>
        <w:t>[</w:t>
      </w:r>
      <w:r w:rsidR="00A52E27">
        <w:rPr>
          <w:noProof/>
        </w:rPr>
        <w:t>2</w:t>
      </w:r>
      <w:r w:rsidR="00AD391C" w:rsidRPr="00AD391C">
        <w:rPr>
          <w:noProof/>
        </w:rPr>
        <w:t>]</w:t>
      </w:r>
      <w:r>
        <w:rPr>
          <w:noProof/>
        </w:rPr>
        <w:t xml:space="preserve"> определяется как «</w:t>
      </w:r>
      <w:r w:rsidRPr="009231B5">
        <w:rPr>
          <w:noProof/>
        </w:rPr>
        <w:t>жидкая смесь углеводородов широкого физико-химического состава, подготовленная к транспортировке магистральным трубопроводом, железнодорожным, автомобильным и водным транспортом и к использованию в качестве сырья на нефтеперерабатывающих и нефтехимических производствах</w:t>
      </w:r>
      <w:r>
        <w:rPr>
          <w:noProof/>
        </w:rPr>
        <w:t>»</w:t>
      </w:r>
      <w:r w:rsidR="00490361">
        <w:rPr>
          <w:noProof/>
        </w:rPr>
        <w:t xml:space="preserve">. </w:t>
      </w:r>
      <w:r w:rsidR="00A52E27">
        <w:rPr>
          <w:noProof/>
        </w:rPr>
        <w:t>З</w:t>
      </w:r>
      <w:r w:rsidR="00490361">
        <w:rPr>
          <w:noProof/>
        </w:rPr>
        <w:t>начение для данной группы и</w:t>
      </w:r>
      <w:r w:rsidR="00A52E27">
        <w:rPr>
          <w:noProof/>
        </w:rPr>
        <w:t xml:space="preserve">меют </w:t>
      </w:r>
      <w:r w:rsidR="00490361">
        <w:rPr>
          <w:noProof/>
        </w:rPr>
        <w:t>продукты переработки нефти</w:t>
      </w:r>
      <w:r w:rsidR="005F549B">
        <w:rPr>
          <w:noProof/>
        </w:rPr>
        <w:t xml:space="preserve"> (отработанные нефтепродукты)</w:t>
      </w:r>
      <w:r w:rsidR="00A52E27" w:rsidRPr="00A52E27">
        <w:rPr>
          <w:noProof/>
        </w:rPr>
        <w:t>[</w:t>
      </w:r>
      <w:r w:rsidR="00A52E27" w:rsidRPr="00E11414">
        <w:rPr>
          <w:noProof/>
        </w:rPr>
        <w:t>4</w:t>
      </w:r>
      <w:r w:rsidR="00E11414">
        <w:rPr>
          <w:noProof/>
        </w:rPr>
        <w:t>,5</w:t>
      </w:r>
      <w:r w:rsidR="00A52E27" w:rsidRPr="00A52E27">
        <w:rPr>
          <w:noProof/>
        </w:rPr>
        <w:t>]</w:t>
      </w:r>
      <w:r w:rsidR="00B2166C">
        <w:rPr>
          <w:noProof/>
        </w:rPr>
        <w:t>.</w:t>
      </w:r>
    </w:p>
    <w:p w14:paraId="55A63518" w14:textId="1A0FD8D4" w:rsidR="00707067" w:rsidRDefault="00707067" w:rsidP="008E0279">
      <w:pPr>
        <w:spacing w:line="240" w:lineRule="auto"/>
        <w:ind w:firstLine="709"/>
        <w:jc w:val="both"/>
        <w:rPr>
          <w:noProof/>
        </w:rPr>
      </w:pPr>
      <w:r>
        <w:rPr>
          <w:noProof/>
        </w:rPr>
        <w:lastRenderedPageBreak/>
        <w:t xml:space="preserve">Если рассматривать </w:t>
      </w:r>
      <w:r w:rsidR="0085451E">
        <w:rPr>
          <w:noProof/>
        </w:rPr>
        <w:t xml:space="preserve">группу </w:t>
      </w:r>
      <w:r>
        <w:rPr>
          <w:noProof/>
        </w:rPr>
        <w:t>27 ТН ВЭД ЕАЭС</w:t>
      </w:r>
      <w:r w:rsidR="0085451E">
        <w:rPr>
          <w:noProof/>
        </w:rPr>
        <w:t xml:space="preserve">, можно выявить следующую закономерность: для </w:t>
      </w:r>
      <w:r w:rsidR="00A25661">
        <w:rPr>
          <w:noProof/>
        </w:rPr>
        <w:t xml:space="preserve"> корректного присвоения товару данной группы товарной позиции, необходимо учитывать критерии:</w:t>
      </w:r>
    </w:p>
    <w:p w14:paraId="57A9DEFE" w14:textId="3D22F161" w:rsidR="00A25661" w:rsidRDefault="00A25661" w:rsidP="008E0279">
      <w:pPr>
        <w:pStyle w:val="a3"/>
        <w:numPr>
          <w:ilvl w:val="0"/>
          <w:numId w:val="11"/>
        </w:numPr>
        <w:spacing w:line="240" w:lineRule="auto"/>
        <w:ind w:left="709" w:hanging="567"/>
        <w:jc w:val="both"/>
        <w:rPr>
          <w:noProof/>
        </w:rPr>
      </w:pPr>
      <w:r>
        <w:rPr>
          <w:noProof/>
        </w:rPr>
        <w:t>Состав;</w:t>
      </w:r>
    </w:p>
    <w:p w14:paraId="339D08B9" w14:textId="1699D695" w:rsidR="00A25661" w:rsidRDefault="00A25661" w:rsidP="008E0279">
      <w:pPr>
        <w:pStyle w:val="a3"/>
        <w:numPr>
          <w:ilvl w:val="0"/>
          <w:numId w:val="11"/>
        </w:numPr>
        <w:spacing w:line="240" w:lineRule="auto"/>
        <w:ind w:left="709" w:hanging="567"/>
        <w:jc w:val="both"/>
        <w:rPr>
          <w:noProof/>
        </w:rPr>
      </w:pPr>
      <w:r>
        <w:rPr>
          <w:noProof/>
        </w:rPr>
        <w:t>Степень обработки;</w:t>
      </w:r>
    </w:p>
    <w:p w14:paraId="76642E00" w14:textId="26C9D26B" w:rsidR="00A25661" w:rsidRDefault="00A25661" w:rsidP="008E0279">
      <w:pPr>
        <w:pStyle w:val="a3"/>
        <w:numPr>
          <w:ilvl w:val="0"/>
          <w:numId w:val="11"/>
        </w:numPr>
        <w:spacing w:line="240" w:lineRule="auto"/>
        <w:ind w:left="709" w:hanging="567"/>
        <w:jc w:val="both"/>
        <w:rPr>
          <w:noProof/>
        </w:rPr>
      </w:pPr>
      <w:r>
        <w:rPr>
          <w:noProof/>
        </w:rPr>
        <w:t>Наличие примесей;</w:t>
      </w:r>
    </w:p>
    <w:p w14:paraId="1888029C" w14:textId="23855E77" w:rsidR="00A25661" w:rsidRDefault="00A25661" w:rsidP="008E0279">
      <w:pPr>
        <w:pStyle w:val="a3"/>
        <w:numPr>
          <w:ilvl w:val="0"/>
          <w:numId w:val="11"/>
        </w:numPr>
        <w:spacing w:line="240" w:lineRule="auto"/>
        <w:ind w:left="709" w:hanging="567"/>
        <w:jc w:val="both"/>
        <w:rPr>
          <w:noProof/>
        </w:rPr>
      </w:pPr>
      <w:r>
        <w:rPr>
          <w:noProof/>
        </w:rPr>
        <w:t>Назначение;</w:t>
      </w:r>
    </w:p>
    <w:p w14:paraId="4E85D212" w14:textId="505B2360" w:rsidR="00904188" w:rsidRDefault="00904188" w:rsidP="008E0279">
      <w:pPr>
        <w:pStyle w:val="a3"/>
        <w:numPr>
          <w:ilvl w:val="0"/>
          <w:numId w:val="11"/>
        </w:numPr>
        <w:spacing w:line="240" w:lineRule="auto"/>
        <w:ind w:left="709" w:hanging="567"/>
        <w:jc w:val="both"/>
        <w:rPr>
          <w:noProof/>
        </w:rPr>
      </w:pPr>
      <w:r>
        <w:rPr>
          <w:noProof/>
        </w:rPr>
        <w:t>Физико-химические свойства;</w:t>
      </w:r>
    </w:p>
    <w:p w14:paraId="6FDFDB56" w14:textId="2121A2DF" w:rsidR="00A25661" w:rsidRDefault="00A25661" w:rsidP="008E0279">
      <w:pPr>
        <w:pStyle w:val="a3"/>
        <w:numPr>
          <w:ilvl w:val="0"/>
          <w:numId w:val="11"/>
        </w:numPr>
        <w:spacing w:line="240" w:lineRule="auto"/>
        <w:ind w:left="709" w:hanging="567"/>
        <w:jc w:val="both"/>
        <w:rPr>
          <w:noProof/>
        </w:rPr>
      </w:pPr>
      <w:r>
        <w:rPr>
          <w:noProof/>
        </w:rPr>
        <w:t>Материал происхождения (породу);</w:t>
      </w:r>
    </w:p>
    <w:p w14:paraId="7318DAFF" w14:textId="5191B78E" w:rsidR="00A25661" w:rsidRDefault="00A25661" w:rsidP="008E0279">
      <w:pPr>
        <w:pStyle w:val="a3"/>
        <w:numPr>
          <w:ilvl w:val="0"/>
          <w:numId w:val="11"/>
        </w:numPr>
        <w:spacing w:line="240" w:lineRule="auto"/>
        <w:ind w:left="709" w:hanging="567"/>
        <w:jc w:val="both"/>
        <w:rPr>
          <w:noProof/>
        </w:rPr>
      </w:pPr>
      <w:r>
        <w:rPr>
          <w:noProof/>
        </w:rPr>
        <w:t>Степень насыщенности серой.</w:t>
      </w:r>
    </w:p>
    <w:p w14:paraId="325C9434" w14:textId="5C984D0D" w:rsidR="00A25661" w:rsidRDefault="00A25661" w:rsidP="008E0279">
      <w:pPr>
        <w:spacing w:line="240" w:lineRule="auto"/>
        <w:ind w:firstLine="708"/>
        <w:jc w:val="both"/>
        <w:rPr>
          <w:noProof/>
        </w:rPr>
      </w:pPr>
      <w:r>
        <w:rPr>
          <w:noProof/>
        </w:rPr>
        <w:t xml:space="preserve">Также важным будет </w:t>
      </w:r>
      <w:r w:rsidR="00DA2326">
        <w:rPr>
          <w:noProof/>
        </w:rPr>
        <w:t>определить</w:t>
      </w:r>
      <w:r>
        <w:rPr>
          <w:noProof/>
        </w:rPr>
        <w:t>, является ли составляющим смеси данный товар.</w:t>
      </w:r>
    </w:p>
    <w:p w14:paraId="7285E789" w14:textId="137586A8" w:rsidR="0050112B" w:rsidRDefault="0050112B" w:rsidP="008E0279">
      <w:pPr>
        <w:spacing w:line="240" w:lineRule="auto"/>
        <w:ind w:firstLine="709"/>
        <w:jc w:val="both"/>
        <w:rPr>
          <w:noProof/>
        </w:rPr>
      </w:pPr>
      <w:r>
        <w:rPr>
          <w:noProof/>
        </w:rPr>
        <w:t xml:space="preserve">Для определения соответствия конкретного товара 27 группе ТН ВЭД ЕАЭС (в том числе отдельно товарной позиции 2710) и </w:t>
      </w:r>
      <w:r w:rsidR="009E3FB3">
        <w:rPr>
          <w:noProof/>
        </w:rPr>
        <w:t>его классификации стоит ответить на следующие вопросы</w:t>
      </w:r>
      <w:r>
        <w:rPr>
          <w:noProof/>
        </w:rPr>
        <w:t>:</w:t>
      </w:r>
    </w:p>
    <w:p w14:paraId="685EE4FE" w14:textId="01DC71A6" w:rsidR="004E784D" w:rsidRDefault="004E784D" w:rsidP="008E0279">
      <w:pPr>
        <w:pStyle w:val="a3"/>
        <w:numPr>
          <w:ilvl w:val="0"/>
          <w:numId w:val="15"/>
        </w:numPr>
        <w:spacing w:line="240" w:lineRule="auto"/>
        <w:ind w:left="709"/>
        <w:jc w:val="both"/>
        <w:rPr>
          <w:noProof/>
        </w:rPr>
      </w:pPr>
      <w:r>
        <w:rPr>
          <w:noProof/>
        </w:rPr>
        <w:t>Чем является данный продукт? (нефтью, торфом, маслом, смолой, нефтепродуктом, полученным при обработке нефти или смолы и т.д.)</w:t>
      </w:r>
    </w:p>
    <w:p w14:paraId="5D6AC70A" w14:textId="56D909F6" w:rsidR="0050112B" w:rsidRDefault="0050112B" w:rsidP="008E0279">
      <w:pPr>
        <w:pStyle w:val="a3"/>
        <w:numPr>
          <w:ilvl w:val="0"/>
          <w:numId w:val="15"/>
        </w:numPr>
        <w:spacing w:line="240" w:lineRule="auto"/>
        <w:ind w:left="709"/>
        <w:jc w:val="both"/>
        <w:rPr>
          <w:noProof/>
        </w:rPr>
      </w:pPr>
      <w:r>
        <w:rPr>
          <w:noProof/>
        </w:rPr>
        <w:t xml:space="preserve">Каково происхождение (порода) товара? (например, товар принадлежит </w:t>
      </w:r>
      <w:r w:rsidRPr="0050112B">
        <w:rPr>
          <w:noProof/>
        </w:rPr>
        <w:t>битуминозн</w:t>
      </w:r>
      <w:r w:rsidR="004E784D">
        <w:rPr>
          <w:noProof/>
        </w:rPr>
        <w:t>ой породе)</w:t>
      </w:r>
    </w:p>
    <w:p w14:paraId="61D0182E" w14:textId="5A85E306" w:rsidR="0050112B" w:rsidRDefault="0050112B" w:rsidP="008E0279">
      <w:pPr>
        <w:pStyle w:val="a3"/>
        <w:numPr>
          <w:ilvl w:val="0"/>
          <w:numId w:val="15"/>
        </w:numPr>
        <w:spacing w:line="240" w:lineRule="auto"/>
        <w:ind w:left="709"/>
        <w:jc w:val="both"/>
        <w:rPr>
          <w:noProof/>
        </w:rPr>
      </w:pPr>
      <w:r>
        <w:rPr>
          <w:noProof/>
        </w:rPr>
        <w:t>В процессе чего получен этот товар? (напрмер, в процессе полиролиза</w:t>
      </w:r>
      <w:r w:rsidR="004E784D">
        <w:rPr>
          <w:noProof/>
        </w:rPr>
        <w:t xml:space="preserve"> или перегонки</w:t>
      </w:r>
      <w:r>
        <w:rPr>
          <w:noProof/>
        </w:rPr>
        <w:t>)</w:t>
      </w:r>
    </w:p>
    <w:p w14:paraId="697DC5B5" w14:textId="359B0967" w:rsidR="004E784D" w:rsidRDefault="004E784D" w:rsidP="008E0279">
      <w:pPr>
        <w:pStyle w:val="a3"/>
        <w:numPr>
          <w:ilvl w:val="0"/>
          <w:numId w:val="15"/>
        </w:numPr>
        <w:spacing w:line="240" w:lineRule="auto"/>
        <w:ind w:left="709"/>
        <w:jc w:val="both"/>
        <w:rPr>
          <w:noProof/>
        </w:rPr>
      </w:pPr>
      <w:r>
        <w:rPr>
          <w:noProof/>
        </w:rPr>
        <w:t>Является ли товар остатком переработки нефти и нефтепродуктов?</w:t>
      </w:r>
    </w:p>
    <w:p w14:paraId="6916C953" w14:textId="24C5A9B2" w:rsidR="004E784D" w:rsidRDefault="004E784D" w:rsidP="008E0279">
      <w:pPr>
        <w:pStyle w:val="a3"/>
        <w:numPr>
          <w:ilvl w:val="0"/>
          <w:numId w:val="15"/>
        </w:numPr>
        <w:spacing w:line="240" w:lineRule="auto"/>
        <w:ind w:left="709"/>
        <w:jc w:val="both"/>
        <w:rPr>
          <w:noProof/>
        </w:rPr>
      </w:pPr>
      <w:r>
        <w:rPr>
          <w:noProof/>
        </w:rPr>
        <w:t>Какая основная составляющая продукта?</w:t>
      </w:r>
    </w:p>
    <w:p w14:paraId="4E0BC716" w14:textId="08974D09" w:rsidR="00E9267D" w:rsidRDefault="00E9267D" w:rsidP="008E0279">
      <w:pPr>
        <w:pStyle w:val="a3"/>
        <w:numPr>
          <w:ilvl w:val="0"/>
          <w:numId w:val="15"/>
        </w:numPr>
        <w:spacing w:line="240" w:lineRule="auto"/>
        <w:ind w:left="709"/>
        <w:jc w:val="both"/>
        <w:rPr>
          <w:noProof/>
        </w:rPr>
      </w:pPr>
      <w:r>
        <w:rPr>
          <w:noProof/>
        </w:rPr>
        <w:t xml:space="preserve">Являтся ли товар попутным продуктом? </w:t>
      </w:r>
    </w:p>
    <w:p w14:paraId="68F11C2A" w14:textId="4579B9B5" w:rsidR="00881112" w:rsidRDefault="00881112" w:rsidP="008E0279">
      <w:pPr>
        <w:pStyle w:val="a3"/>
        <w:numPr>
          <w:ilvl w:val="0"/>
          <w:numId w:val="15"/>
        </w:numPr>
        <w:spacing w:line="240" w:lineRule="auto"/>
        <w:ind w:left="709"/>
        <w:jc w:val="both"/>
        <w:rPr>
          <w:noProof/>
        </w:rPr>
      </w:pPr>
      <w:r>
        <w:rPr>
          <w:noProof/>
        </w:rPr>
        <w:t>Соответствуют ли физико-химические характеристики продукта ГОСТам и Техническим Регламентам, Пояснениям и Примечаниям к товарным позициям ТН ВЭД ЕАЭС?</w:t>
      </w:r>
    </w:p>
    <w:p w14:paraId="15B6B4C7" w14:textId="1DFF316A" w:rsidR="004E784D" w:rsidRDefault="004E784D" w:rsidP="008E0279">
      <w:pPr>
        <w:pStyle w:val="a3"/>
        <w:numPr>
          <w:ilvl w:val="0"/>
          <w:numId w:val="15"/>
        </w:numPr>
        <w:spacing w:line="240" w:lineRule="auto"/>
        <w:ind w:left="709"/>
        <w:jc w:val="both"/>
        <w:rPr>
          <w:noProof/>
        </w:rPr>
      </w:pPr>
      <w:r>
        <w:rPr>
          <w:noProof/>
        </w:rPr>
        <w:t>Сколько в процентном соотношении составляет масса ароматических частей? Доминирует ли она над неароматическими?</w:t>
      </w:r>
    </w:p>
    <w:p w14:paraId="4CED50EB" w14:textId="41062BA8" w:rsidR="00E9267D" w:rsidRDefault="00E9267D" w:rsidP="008E0279">
      <w:pPr>
        <w:pStyle w:val="a3"/>
        <w:numPr>
          <w:ilvl w:val="0"/>
          <w:numId w:val="15"/>
        </w:numPr>
        <w:spacing w:line="240" w:lineRule="auto"/>
        <w:ind w:left="709"/>
        <w:jc w:val="both"/>
        <w:rPr>
          <w:noProof/>
        </w:rPr>
      </w:pPr>
      <w:r>
        <w:rPr>
          <w:noProof/>
        </w:rPr>
        <w:t xml:space="preserve">Для чего предназначен данный товар? (например, товар является </w:t>
      </w:r>
      <w:r w:rsidRPr="00E9267D">
        <w:rPr>
          <w:noProof/>
        </w:rPr>
        <w:t>компонент</w:t>
      </w:r>
      <w:r>
        <w:rPr>
          <w:noProof/>
        </w:rPr>
        <w:t>ом</w:t>
      </w:r>
      <w:r w:rsidRPr="00E9267D">
        <w:rPr>
          <w:noProof/>
        </w:rPr>
        <w:t xml:space="preserve"> судового и котельного топлива, </w:t>
      </w:r>
      <w:r>
        <w:rPr>
          <w:noProof/>
        </w:rPr>
        <w:t xml:space="preserve">используется </w:t>
      </w:r>
      <w:r w:rsidRPr="00E9267D">
        <w:rPr>
          <w:noProof/>
        </w:rPr>
        <w:t>в производстве технического углерода</w:t>
      </w:r>
      <w:r>
        <w:rPr>
          <w:noProof/>
        </w:rPr>
        <w:t>)</w:t>
      </w:r>
    </w:p>
    <w:p w14:paraId="756039DD" w14:textId="7BA1BB13" w:rsidR="006E707C" w:rsidRDefault="006E707C" w:rsidP="008E0279">
      <w:pPr>
        <w:spacing w:line="240" w:lineRule="auto"/>
        <w:ind w:firstLine="709"/>
        <w:jc w:val="both"/>
        <w:rPr>
          <w:noProof/>
        </w:rPr>
      </w:pPr>
      <w:r>
        <w:rPr>
          <w:noProof/>
        </w:rPr>
        <w:t>Состав нефти отличается большим разнообразием строения содержащихся в ней смеси углеводородов. С помощью перегонки из сырьевой нефти получают бензин и мазут, дизельное и реактивное топливо или осветительный керосин.</w:t>
      </w:r>
    </w:p>
    <w:p w14:paraId="5B421D5D" w14:textId="1E5AB8F0" w:rsidR="006E707C" w:rsidRDefault="006E707C" w:rsidP="008E0279">
      <w:pPr>
        <w:spacing w:line="240" w:lineRule="auto"/>
        <w:ind w:firstLine="709"/>
        <w:jc w:val="both"/>
        <w:rPr>
          <w:noProof/>
        </w:rPr>
      </w:pPr>
      <w:r>
        <w:rPr>
          <w:noProof/>
        </w:rPr>
        <w:t xml:space="preserve">К важнейшим характеристикам нефти относят: плотность и вязкость, содержание серы, воды, твердых примесей и хлористых соединений, фракционный состав. </w:t>
      </w:r>
      <w:r w:rsidR="00373F9C">
        <w:rPr>
          <w:noProof/>
        </w:rPr>
        <w:t>Н</w:t>
      </w:r>
      <w:r>
        <w:rPr>
          <w:noProof/>
        </w:rPr>
        <w:t>ефть подразделяется на</w:t>
      </w:r>
      <w:r w:rsidR="00373F9C">
        <w:rPr>
          <w:noProof/>
        </w:rPr>
        <w:t xml:space="preserve"> (одна из классификаций, в зависимости от вязкости)</w:t>
      </w:r>
      <w:r>
        <w:rPr>
          <w:noProof/>
        </w:rPr>
        <w:t>:</w:t>
      </w:r>
    </w:p>
    <w:p w14:paraId="0BBEDF7C" w14:textId="2B3E0794" w:rsidR="006E707C" w:rsidRDefault="006E707C" w:rsidP="008E0279">
      <w:pPr>
        <w:pStyle w:val="a3"/>
        <w:numPr>
          <w:ilvl w:val="0"/>
          <w:numId w:val="14"/>
        </w:numPr>
        <w:spacing w:line="240" w:lineRule="auto"/>
        <w:jc w:val="both"/>
        <w:rPr>
          <w:noProof/>
        </w:rPr>
      </w:pPr>
      <w:r>
        <w:rPr>
          <w:noProof/>
        </w:rPr>
        <w:t>Лёгкую (36-45°);</w:t>
      </w:r>
    </w:p>
    <w:p w14:paraId="1DF06DE4" w14:textId="66B96A0B" w:rsidR="006E707C" w:rsidRDefault="006E707C" w:rsidP="008E0279">
      <w:pPr>
        <w:pStyle w:val="a3"/>
        <w:numPr>
          <w:ilvl w:val="0"/>
          <w:numId w:val="14"/>
        </w:numPr>
        <w:spacing w:line="240" w:lineRule="auto"/>
        <w:jc w:val="both"/>
        <w:rPr>
          <w:noProof/>
        </w:rPr>
      </w:pPr>
      <w:r>
        <w:rPr>
          <w:noProof/>
        </w:rPr>
        <w:t>Среднюю (29,5-36°);</w:t>
      </w:r>
    </w:p>
    <w:p w14:paraId="45C4B7D6" w14:textId="47707AD3" w:rsidR="006E707C" w:rsidRDefault="006E707C" w:rsidP="008E0279">
      <w:pPr>
        <w:pStyle w:val="a3"/>
        <w:numPr>
          <w:ilvl w:val="0"/>
          <w:numId w:val="14"/>
        </w:numPr>
        <w:spacing w:line="240" w:lineRule="auto"/>
        <w:jc w:val="both"/>
        <w:rPr>
          <w:noProof/>
        </w:rPr>
      </w:pPr>
      <w:r>
        <w:rPr>
          <w:noProof/>
        </w:rPr>
        <w:lastRenderedPageBreak/>
        <w:t>Тяжёлую (22,3-29,3°);</w:t>
      </w:r>
    </w:p>
    <w:p w14:paraId="548BBE23" w14:textId="28330880" w:rsidR="006E707C" w:rsidRDefault="006E707C" w:rsidP="008E0279">
      <w:pPr>
        <w:pStyle w:val="a3"/>
        <w:numPr>
          <w:ilvl w:val="0"/>
          <w:numId w:val="14"/>
        </w:numPr>
        <w:spacing w:line="240" w:lineRule="auto"/>
        <w:jc w:val="both"/>
        <w:rPr>
          <w:noProof/>
        </w:rPr>
      </w:pPr>
      <w:r>
        <w:rPr>
          <w:noProof/>
        </w:rPr>
        <w:t>Очень тяжёлую (менее 22,3°).</w:t>
      </w:r>
    </w:p>
    <w:p w14:paraId="1B19FB40" w14:textId="243F299D" w:rsidR="006E707C" w:rsidRDefault="006E707C" w:rsidP="008E0279">
      <w:pPr>
        <w:spacing w:line="240" w:lineRule="auto"/>
        <w:ind w:firstLine="709"/>
        <w:jc w:val="both"/>
        <w:rPr>
          <w:noProof/>
        </w:rPr>
      </w:pPr>
      <w:r>
        <w:rPr>
          <w:noProof/>
        </w:rPr>
        <w:t xml:space="preserve">Плотность нефти характеризует содержание углеводородов, высокий ее показатель указывает на большое количество ароматических углеводородов, а низкая уже на более высокий процент парафиновых соединений. </w:t>
      </w:r>
    </w:p>
    <w:p w14:paraId="71ED21BB" w14:textId="5E05EC17" w:rsidR="002E0BFC" w:rsidRDefault="004074C6" w:rsidP="008E0279">
      <w:pPr>
        <w:spacing w:line="240" w:lineRule="auto"/>
        <w:ind w:firstLine="709"/>
        <w:jc w:val="both"/>
        <w:rPr>
          <w:noProof/>
        </w:rPr>
      </w:pPr>
      <w:r>
        <w:rPr>
          <w:noProof/>
        </w:rPr>
        <w:t>Для каждого элемента группы 27 ТН ВЭД ЕАЭС существуют свои нормы классификации. Для нефти, например, важной является классификация по содерж</w:t>
      </w:r>
      <w:r w:rsidR="00AD391C">
        <w:rPr>
          <w:noProof/>
        </w:rPr>
        <w:t>а</w:t>
      </w:r>
      <w:r>
        <w:rPr>
          <w:noProof/>
        </w:rPr>
        <w:t xml:space="preserve">нию серы. По этому принципу определяется ее экспортное направление. </w:t>
      </w:r>
    </w:p>
    <w:p w14:paraId="4F070940" w14:textId="1D42CE15" w:rsidR="00E712C3" w:rsidRDefault="00E712C3" w:rsidP="008E0279">
      <w:pPr>
        <w:spacing w:line="240" w:lineRule="auto"/>
        <w:jc w:val="both"/>
        <w:rPr>
          <w:noProof/>
        </w:rPr>
      </w:pPr>
      <w:r>
        <w:rPr>
          <w:noProof/>
        </w:rPr>
        <w:t xml:space="preserve">Если определять по этому критерию направление экспорта нефти, то </w:t>
      </w:r>
      <w:r w:rsidR="00AD391C">
        <w:rPr>
          <w:noProof/>
        </w:rPr>
        <w:t>возникает следующее распределение</w:t>
      </w:r>
      <w:r w:rsidR="00B143AF" w:rsidRPr="00B143AF">
        <w:rPr>
          <w:noProof/>
        </w:rPr>
        <w:t>[</w:t>
      </w:r>
      <w:r w:rsidR="00A52E27">
        <w:rPr>
          <w:noProof/>
        </w:rPr>
        <w:t>1</w:t>
      </w:r>
      <w:r w:rsidR="002D42B4" w:rsidRPr="002D42B4">
        <w:rPr>
          <w:noProof/>
        </w:rPr>
        <w:t>2</w:t>
      </w:r>
      <w:r w:rsidR="00B143AF" w:rsidRPr="00B143AF">
        <w:rPr>
          <w:noProof/>
        </w:rPr>
        <w:t>]</w:t>
      </w:r>
      <w:r w:rsidR="00AD391C">
        <w:rPr>
          <w:noProof/>
        </w:rPr>
        <w:t>, отмеченное в таблице 1</w:t>
      </w:r>
      <w:r>
        <w:rPr>
          <w:noProof/>
        </w:rPr>
        <w:t>:</w:t>
      </w:r>
    </w:p>
    <w:p w14:paraId="0DFE94EF" w14:textId="21E6FAFF" w:rsidR="00AD391C" w:rsidRDefault="00AD391C" w:rsidP="008E0279">
      <w:pPr>
        <w:spacing w:line="240" w:lineRule="auto"/>
        <w:ind w:firstLine="709"/>
        <w:jc w:val="right"/>
        <w:rPr>
          <w:noProof/>
        </w:rPr>
      </w:pPr>
      <w:r>
        <w:rPr>
          <w:noProof/>
        </w:rPr>
        <w:t>Таблица 1.</w:t>
      </w:r>
    </w:p>
    <w:p w14:paraId="3537DDE8" w14:textId="7C2515AF" w:rsidR="002D42B4" w:rsidRPr="008E0279" w:rsidRDefault="002D42B4" w:rsidP="008E0279">
      <w:pPr>
        <w:spacing w:line="240" w:lineRule="auto"/>
        <w:ind w:firstLine="709"/>
        <w:jc w:val="center"/>
        <w:rPr>
          <w:noProof/>
        </w:rPr>
      </w:pPr>
      <w:r w:rsidRPr="008E0279">
        <w:rPr>
          <w:noProof/>
        </w:rPr>
        <w:t>Анализ практики компаний-экспортеров нефти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4"/>
        <w:gridCol w:w="2359"/>
        <w:gridCol w:w="2359"/>
        <w:gridCol w:w="2359"/>
      </w:tblGrid>
      <w:tr w:rsidR="00AD391C" w:rsidRPr="008E0279" w14:paraId="4C23D5AB" w14:textId="7B7D422B" w:rsidTr="00AD391C">
        <w:tc>
          <w:tcPr>
            <w:tcW w:w="2834" w:type="dxa"/>
          </w:tcPr>
          <w:p w14:paraId="3618B828" w14:textId="6C556C4C" w:rsidR="00AD391C" w:rsidRPr="008E0279" w:rsidRDefault="00AD391C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Направление</w:t>
            </w:r>
          </w:p>
        </w:tc>
        <w:tc>
          <w:tcPr>
            <w:tcW w:w="2359" w:type="dxa"/>
          </w:tcPr>
          <w:p w14:paraId="6D5D99AA" w14:textId="2EFF83B7" w:rsidR="00AD391C" w:rsidRPr="008E0279" w:rsidRDefault="00AD391C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Сорт нефти</w:t>
            </w:r>
          </w:p>
        </w:tc>
        <w:tc>
          <w:tcPr>
            <w:tcW w:w="2359" w:type="dxa"/>
          </w:tcPr>
          <w:p w14:paraId="3ADD055F" w14:textId="38AF14E6" w:rsidR="00AD391C" w:rsidRPr="008E0279" w:rsidRDefault="00AD391C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Содержание серы</w:t>
            </w:r>
          </w:p>
        </w:tc>
        <w:tc>
          <w:tcPr>
            <w:tcW w:w="2359" w:type="dxa"/>
          </w:tcPr>
          <w:p w14:paraId="0F606BD4" w14:textId="181087D1" w:rsidR="00AD391C" w:rsidRPr="008E0279" w:rsidRDefault="00AD391C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 xml:space="preserve">Пример </w:t>
            </w:r>
          </w:p>
        </w:tc>
      </w:tr>
      <w:tr w:rsidR="00B143AF" w:rsidRPr="008E0279" w14:paraId="27B2DA18" w14:textId="01154F67" w:rsidTr="00AD391C">
        <w:tc>
          <w:tcPr>
            <w:tcW w:w="2834" w:type="dxa"/>
            <w:vMerge w:val="restart"/>
          </w:tcPr>
          <w:p w14:paraId="15C8D7E4" w14:textId="21859E0E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 xml:space="preserve">Западное </w:t>
            </w:r>
          </w:p>
        </w:tc>
        <w:tc>
          <w:tcPr>
            <w:tcW w:w="2359" w:type="dxa"/>
            <w:vMerge w:val="restart"/>
          </w:tcPr>
          <w:p w14:paraId="550F0657" w14:textId="320256BE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Сернистый</w:t>
            </w:r>
          </w:p>
        </w:tc>
        <w:tc>
          <w:tcPr>
            <w:tcW w:w="2359" w:type="dxa"/>
          </w:tcPr>
          <w:p w14:paraId="3C732081" w14:textId="40651A95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До 1,65%</w:t>
            </w:r>
          </w:p>
        </w:tc>
        <w:tc>
          <w:tcPr>
            <w:tcW w:w="2359" w:type="dxa"/>
          </w:tcPr>
          <w:p w14:paraId="2993DC6A" w14:textId="3E29DC1B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Urals "Приморск"</w:t>
            </w:r>
          </w:p>
        </w:tc>
      </w:tr>
      <w:tr w:rsidR="00B143AF" w:rsidRPr="008E0279" w14:paraId="7A795BBC" w14:textId="287B989D" w:rsidTr="00AD391C">
        <w:tc>
          <w:tcPr>
            <w:tcW w:w="2834" w:type="dxa"/>
            <w:vMerge/>
          </w:tcPr>
          <w:p w14:paraId="13658D68" w14:textId="77777777" w:rsidR="00B143AF" w:rsidRPr="008E0279" w:rsidRDefault="00B143AF" w:rsidP="008E0279">
            <w:pPr>
              <w:jc w:val="both"/>
              <w:rPr>
                <w:noProof/>
              </w:rPr>
            </w:pPr>
          </w:p>
        </w:tc>
        <w:tc>
          <w:tcPr>
            <w:tcW w:w="2359" w:type="dxa"/>
            <w:vMerge/>
          </w:tcPr>
          <w:p w14:paraId="39EE9B95" w14:textId="77777777" w:rsidR="00B143AF" w:rsidRPr="008E0279" w:rsidRDefault="00B143AF" w:rsidP="008E0279">
            <w:pPr>
              <w:jc w:val="both"/>
              <w:rPr>
                <w:noProof/>
              </w:rPr>
            </w:pPr>
          </w:p>
        </w:tc>
        <w:tc>
          <w:tcPr>
            <w:tcW w:w="2359" w:type="dxa"/>
          </w:tcPr>
          <w:p w14:paraId="11D383F0" w14:textId="5930AF4A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До 1,8%</w:t>
            </w:r>
          </w:p>
        </w:tc>
        <w:tc>
          <w:tcPr>
            <w:tcW w:w="2359" w:type="dxa"/>
          </w:tcPr>
          <w:p w14:paraId="289A96AA" w14:textId="27F3DBD8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Urals "Дружба", Urals "Усть-Луга"</w:t>
            </w:r>
          </w:p>
        </w:tc>
      </w:tr>
      <w:tr w:rsidR="00B143AF" w:rsidRPr="008E0279" w14:paraId="46616536" w14:textId="77777777" w:rsidTr="00AD391C">
        <w:tc>
          <w:tcPr>
            <w:tcW w:w="2834" w:type="dxa"/>
            <w:vMerge/>
          </w:tcPr>
          <w:p w14:paraId="50B92D1C" w14:textId="77777777" w:rsidR="00B143AF" w:rsidRPr="008E0279" w:rsidRDefault="00B143AF" w:rsidP="008E0279">
            <w:pPr>
              <w:jc w:val="both"/>
              <w:rPr>
                <w:noProof/>
              </w:rPr>
            </w:pPr>
          </w:p>
        </w:tc>
        <w:tc>
          <w:tcPr>
            <w:tcW w:w="2359" w:type="dxa"/>
            <w:vMerge/>
          </w:tcPr>
          <w:p w14:paraId="6B045C64" w14:textId="77777777" w:rsidR="00B143AF" w:rsidRPr="008E0279" w:rsidRDefault="00B143AF" w:rsidP="008E0279">
            <w:pPr>
              <w:jc w:val="both"/>
              <w:rPr>
                <w:noProof/>
              </w:rPr>
            </w:pPr>
          </w:p>
        </w:tc>
        <w:tc>
          <w:tcPr>
            <w:tcW w:w="2359" w:type="dxa"/>
          </w:tcPr>
          <w:p w14:paraId="215964A3" w14:textId="01483113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 xml:space="preserve">До 1,55% </w:t>
            </w:r>
          </w:p>
        </w:tc>
        <w:tc>
          <w:tcPr>
            <w:tcW w:w="2359" w:type="dxa"/>
          </w:tcPr>
          <w:p w14:paraId="7D7681E0" w14:textId="5B72F6A2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Urals "Новороссийск"</w:t>
            </w:r>
          </w:p>
        </w:tc>
      </w:tr>
      <w:tr w:rsidR="00B143AF" w:rsidRPr="008E0279" w14:paraId="5C4429D9" w14:textId="77777777" w:rsidTr="00AD391C">
        <w:tc>
          <w:tcPr>
            <w:tcW w:w="2834" w:type="dxa"/>
            <w:vMerge/>
          </w:tcPr>
          <w:p w14:paraId="09145DA9" w14:textId="77777777" w:rsidR="00B143AF" w:rsidRPr="008E0279" w:rsidRDefault="00B143AF" w:rsidP="008E0279">
            <w:pPr>
              <w:jc w:val="both"/>
              <w:rPr>
                <w:noProof/>
              </w:rPr>
            </w:pPr>
          </w:p>
        </w:tc>
        <w:tc>
          <w:tcPr>
            <w:tcW w:w="2359" w:type="dxa"/>
          </w:tcPr>
          <w:p w14:paraId="6D59D26A" w14:textId="7FC095AF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 xml:space="preserve">Малосернистый </w:t>
            </w:r>
          </w:p>
        </w:tc>
        <w:tc>
          <w:tcPr>
            <w:tcW w:w="2359" w:type="dxa"/>
          </w:tcPr>
          <w:p w14:paraId="29EA2B4A" w14:textId="1A015C75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До 0,6 %</w:t>
            </w:r>
          </w:p>
        </w:tc>
        <w:tc>
          <w:tcPr>
            <w:tcW w:w="2359" w:type="dxa"/>
          </w:tcPr>
          <w:p w14:paraId="178B7640" w14:textId="29F22CF5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Siberian Light</w:t>
            </w:r>
          </w:p>
        </w:tc>
      </w:tr>
      <w:tr w:rsidR="00B143AF" w:rsidRPr="008E0279" w14:paraId="02F3A2A2" w14:textId="77777777" w:rsidTr="00AD391C">
        <w:tc>
          <w:tcPr>
            <w:tcW w:w="2834" w:type="dxa"/>
          </w:tcPr>
          <w:p w14:paraId="7CC82CCB" w14:textId="11322E94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 xml:space="preserve">Восточное </w:t>
            </w:r>
          </w:p>
        </w:tc>
        <w:tc>
          <w:tcPr>
            <w:tcW w:w="2359" w:type="dxa"/>
          </w:tcPr>
          <w:p w14:paraId="266B64BA" w14:textId="63CE3986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Малосернистый</w:t>
            </w:r>
          </w:p>
        </w:tc>
        <w:tc>
          <w:tcPr>
            <w:tcW w:w="2359" w:type="dxa"/>
          </w:tcPr>
          <w:p w14:paraId="01040C84" w14:textId="263FF3D9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До 0,65%</w:t>
            </w:r>
          </w:p>
        </w:tc>
        <w:tc>
          <w:tcPr>
            <w:tcW w:w="2359" w:type="dxa"/>
          </w:tcPr>
          <w:p w14:paraId="1360C85F" w14:textId="52D34AD7" w:rsidR="00B143AF" w:rsidRPr="008E0279" w:rsidRDefault="00B143AF" w:rsidP="008E0279">
            <w:pPr>
              <w:jc w:val="both"/>
              <w:rPr>
                <w:noProof/>
              </w:rPr>
            </w:pPr>
            <w:r w:rsidRPr="008E0279">
              <w:rPr>
                <w:noProof/>
              </w:rPr>
              <w:t>ESPO</w:t>
            </w:r>
          </w:p>
        </w:tc>
      </w:tr>
    </w:tbl>
    <w:p w14:paraId="2B6EBE42" w14:textId="77777777" w:rsidR="00AD391C" w:rsidRPr="008E0279" w:rsidRDefault="00AD391C" w:rsidP="008E0279">
      <w:pPr>
        <w:spacing w:line="240" w:lineRule="auto"/>
        <w:ind w:firstLine="709"/>
        <w:jc w:val="both"/>
        <w:rPr>
          <w:noProof/>
          <w:sz w:val="32"/>
          <w:szCs w:val="24"/>
        </w:rPr>
      </w:pPr>
    </w:p>
    <w:p w14:paraId="759CBBC9" w14:textId="13ADF46C" w:rsidR="00881112" w:rsidRDefault="00B2166C" w:rsidP="008E0279">
      <w:pPr>
        <w:spacing w:line="240" w:lineRule="auto"/>
        <w:ind w:firstLine="709"/>
        <w:jc w:val="both"/>
      </w:pPr>
      <w:r>
        <w:t>К</w:t>
      </w:r>
      <w:r w:rsidR="00B06E93">
        <w:t xml:space="preserve">лассификация товаров, относимых к </w:t>
      </w:r>
      <w:r w:rsidR="00B06E93" w:rsidRPr="00B06E93">
        <w:t>минерально</w:t>
      </w:r>
      <w:r w:rsidR="00B06E93">
        <w:t>му</w:t>
      </w:r>
      <w:r w:rsidR="00B06E93" w:rsidRPr="00B06E93">
        <w:t xml:space="preserve"> топлив</w:t>
      </w:r>
      <w:r w:rsidR="00B06E93">
        <w:t>у</w:t>
      </w:r>
      <w:r w:rsidR="00B06E93" w:rsidRPr="00B06E93">
        <w:t>, нефти</w:t>
      </w:r>
      <w:r w:rsidR="00B06E93">
        <w:t xml:space="preserve"> </w:t>
      </w:r>
      <w:r w:rsidR="00B06E93" w:rsidRPr="00B06E93">
        <w:t>и продукт</w:t>
      </w:r>
      <w:r w:rsidR="00B06E93">
        <w:t>ам</w:t>
      </w:r>
      <w:r w:rsidR="00B06E93" w:rsidRPr="00B06E93">
        <w:t xml:space="preserve"> их перегонки</w:t>
      </w:r>
      <w:r w:rsidR="00B06E93">
        <w:t xml:space="preserve"> может различаться в отдельных ГОСТах и Технических Регламентах, отличаться от позиций, обозначенных в ТН ВЭД ЕАЭС.</w:t>
      </w:r>
      <w:r w:rsidR="000F657C">
        <w:t xml:space="preserve"> </w:t>
      </w:r>
    </w:p>
    <w:p w14:paraId="76CBBA4D" w14:textId="122EC340" w:rsidR="004074C6" w:rsidRDefault="004074C6" w:rsidP="008E0279">
      <w:pPr>
        <w:spacing w:line="240" w:lineRule="auto"/>
        <w:ind w:firstLine="709"/>
        <w:jc w:val="both"/>
      </w:pPr>
      <w:r>
        <w:t>Примерами продуктов, представляющих сложность в процессе присвоения кода ТН ВЭД, можно считать смеси сырой нефти (газовых конденсатов) с мазутом и другими углеводородными производными. При получении путем смешения</w:t>
      </w:r>
      <w:r w:rsidR="00373F9C">
        <w:t xml:space="preserve"> </w:t>
      </w:r>
      <w:r>
        <w:t xml:space="preserve">газовых конденсатов с углеводородными фракциями </w:t>
      </w:r>
      <w:r w:rsidR="00B2166C">
        <w:t>продукт</w:t>
      </w:r>
      <w:r>
        <w:t xml:space="preserve"> классифицируется в </w:t>
      </w:r>
      <w:proofErr w:type="spellStart"/>
      <w:r>
        <w:t>подсубпозициях</w:t>
      </w:r>
      <w:proofErr w:type="spellEnd"/>
      <w:r>
        <w:t xml:space="preserve"> 270900900</w:t>
      </w:r>
      <w:r w:rsidR="00B2166C">
        <w:t>1–2709</w:t>
      </w:r>
      <w:r>
        <w:t>009004 ТН ВЭД ЕАЭС с учетом показателя плотности и содержания серы</w:t>
      </w:r>
      <w:r w:rsidR="007C481E">
        <w:t xml:space="preserve"> в нефтепродуктах</w:t>
      </w:r>
      <w:r w:rsidR="00B2166C">
        <w:t xml:space="preserve"> </w:t>
      </w:r>
      <w:r w:rsidR="00E11414" w:rsidRPr="00E11414">
        <w:t>[</w:t>
      </w:r>
      <w:r w:rsidR="00E11414">
        <w:t>8, С. 17</w:t>
      </w:r>
      <w:r w:rsidR="00E11414" w:rsidRPr="00E11414">
        <w:t>]</w:t>
      </w:r>
      <w:r>
        <w:t xml:space="preserve">. </w:t>
      </w:r>
    </w:p>
    <w:p w14:paraId="6F8086A2" w14:textId="09A3D886" w:rsidR="00597EFE" w:rsidRDefault="00A52E27" w:rsidP="008E0279">
      <w:pPr>
        <w:spacing w:line="240" w:lineRule="auto"/>
        <w:ind w:firstLine="709"/>
        <w:jc w:val="both"/>
      </w:pPr>
      <w:r>
        <w:t>О</w:t>
      </w:r>
      <w:r w:rsidR="00597EFE">
        <w:t xml:space="preserve">шибки </w:t>
      </w:r>
      <w:r w:rsidR="00373F9C">
        <w:t>возможны</w:t>
      </w:r>
      <w:r w:rsidR="00597EFE">
        <w:t>, когда декларантом игнорируются Основные правила интерпретации</w:t>
      </w:r>
      <w:r>
        <w:t>(ОПИ)</w:t>
      </w:r>
      <w:r w:rsidR="00597EFE">
        <w:t xml:space="preserve">, когда наименование товара соответствует определенной группе, но при применении ОПИ выясняется, что товару должен принадлежать код, отличный от того, к которому </w:t>
      </w:r>
      <w:r w:rsidR="00162BAD">
        <w:t>он был отнесен. К тому же, как выяснилось при рассмотрении судебной практики, ошибки возникают при несоблюдении соответствия заявленных характеристик товара пояснениям и примечаниям к товарной позиции, к которой данный товар был отнесен декларантом.</w:t>
      </w:r>
    </w:p>
    <w:p w14:paraId="273FEB5B" w14:textId="2E627EF9" w:rsidR="00A1312A" w:rsidRDefault="00B143AF" w:rsidP="008E0279">
      <w:pPr>
        <w:spacing w:line="240" w:lineRule="auto"/>
        <w:ind w:firstLine="709"/>
        <w:jc w:val="both"/>
      </w:pPr>
      <w:r>
        <w:t>М</w:t>
      </w:r>
      <w:r w:rsidR="00A1312A">
        <w:t xml:space="preserve">ного трудностей возникает из-за обилия продуктов, входящих в данную группу, в связи с этим декларанту и сотрудникам таможенных органов и судов, </w:t>
      </w:r>
      <w:r w:rsidR="00A1312A">
        <w:lastRenderedPageBreak/>
        <w:t xml:space="preserve">проверяющих соответствие присвоенного кода товару, приходится учитывать </w:t>
      </w:r>
      <w:r w:rsidR="00B828E6">
        <w:t>множество критериев состава и назначения, позволяющих отнести спорный товар к той или иной товарной позиции</w:t>
      </w:r>
      <w:r w:rsidR="00B2166C">
        <w:t xml:space="preserve"> и </w:t>
      </w:r>
      <w:r w:rsidR="00B828E6">
        <w:t xml:space="preserve">определить для него подходящий код. </w:t>
      </w:r>
    </w:p>
    <w:p w14:paraId="575F747D" w14:textId="6CBDD7CA" w:rsidR="00FB774B" w:rsidRPr="00877716" w:rsidRDefault="00B143AF" w:rsidP="008E0279">
      <w:pPr>
        <w:spacing w:line="240" w:lineRule="auto"/>
        <w:ind w:firstLine="709"/>
        <w:jc w:val="both"/>
      </w:pPr>
      <w:r w:rsidRPr="00877716">
        <w:t xml:space="preserve">Анализ </w:t>
      </w:r>
      <w:r w:rsidR="00061D8C" w:rsidRPr="00877716">
        <w:t>Дел</w:t>
      </w:r>
      <w:r w:rsidRPr="00877716">
        <w:t>а</w:t>
      </w:r>
      <w:r w:rsidR="00061D8C" w:rsidRPr="00877716">
        <w:t xml:space="preserve"> </w:t>
      </w:r>
      <w:bookmarkStart w:id="1" w:name="_Hlk57580175"/>
      <w:r w:rsidR="00061D8C" w:rsidRPr="00877716">
        <w:t>№ А56-75774/2019</w:t>
      </w:r>
      <w:bookmarkEnd w:id="1"/>
      <w:r w:rsidR="002D42B4" w:rsidRPr="00877716">
        <w:t>[</w:t>
      </w:r>
      <w:r w:rsidR="00A52E27" w:rsidRPr="00877716">
        <w:t>10</w:t>
      </w:r>
      <w:r w:rsidR="002D42B4" w:rsidRPr="00877716">
        <w:t>]</w:t>
      </w:r>
      <w:r w:rsidR="00061D8C" w:rsidRPr="00877716">
        <w:t>.</w:t>
      </w:r>
      <w:r w:rsidR="00877716">
        <w:t xml:space="preserve"> Товар был поименован как </w:t>
      </w:r>
      <w:r w:rsidR="00877716" w:rsidRPr="00877716">
        <w:t>смола минеральная остаточная многокомпонентная</w:t>
      </w:r>
      <w:r w:rsidR="00877716">
        <w:t xml:space="preserve"> и отнесен декларантом к товарной позиции 2706 </w:t>
      </w:r>
      <w:r w:rsidR="00877716" w:rsidRPr="00877716">
        <w:t>«Смолы каменноугольные, буроугольные, торфяные и прочие минеральные смолы</w:t>
      </w:r>
      <w:r w:rsidR="00877716">
        <w:t>», таможенный орган изменил позицию на 2710 «</w:t>
      </w:r>
      <w:r w:rsidR="00877716" w:rsidRPr="00877716">
        <w:t xml:space="preserve">Нефть и нефтепродукты, полученные из битуминозных пород, кроме сырых; продукты, в другом месте не поименованные или не включенные, содержащие 70 </w:t>
      </w:r>
      <w:r w:rsidR="008E0279" w:rsidRPr="00877716">
        <w:t>масс</w:t>
      </w:r>
      <w:r w:rsidR="00877716" w:rsidRPr="00877716">
        <w:t>.% или более нефти</w:t>
      </w:r>
      <w:r w:rsidR="00877716">
        <w:t xml:space="preserve">». Ставка ввозной пошлины 5% и НДС 20% в обоих случаях. Декларант заявил основным свойством наличие смолы, таможенный орган - тяжелые остатки переработки нефти и нефтепродуктов. Суд в соответствии с проведенной экспертизой и ОПИ согласился с решением таможенного органа — </w:t>
      </w:r>
      <w:r w:rsidR="00877716" w:rsidRPr="00877716">
        <w:t>пробы содержат в своем составе тяжелые остатки переработки нефти и нефтепродуктов (мазут) и добавленный компонент. Кроме того, эксперт пришел к выводу о том, что установленные физико-химические характеристики проб не характерны для минеральных смол.</w:t>
      </w:r>
    </w:p>
    <w:p w14:paraId="53290FD3" w14:textId="1D920FD4" w:rsidR="002D42B4" w:rsidRDefault="00C46E07" w:rsidP="008E0279">
      <w:pPr>
        <w:spacing w:line="240" w:lineRule="auto"/>
        <w:ind w:firstLine="709"/>
        <w:jc w:val="both"/>
      </w:pPr>
      <w:r>
        <w:t xml:space="preserve">Для решения проблемы классификации </w:t>
      </w:r>
      <w:r w:rsidR="00A174D8">
        <w:t xml:space="preserve">товаров группы 27 ТН ВЭД ЕАЭС </w:t>
      </w:r>
      <w:r>
        <w:t xml:space="preserve">со стороны законодательства и регулирующих ВЭД органов было бы рационально конкретизировать </w:t>
      </w:r>
      <w:r w:rsidR="00A174D8">
        <w:t>Примечания и Пояснения к этой группе</w:t>
      </w:r>
      <w:r w:rsidR="00C933B2">
        <w:t>, обеспечив эти положения инструкцией и алгоритмом классификации</w:t>
      </w:r>
      <w:r w:rsidR="00A174D8">
        <w:t xml:space="preserve">. Также было бы логично разделить ее на несколько групп, так как в данный момент 27 группа включает в себя слишком много </w:t>
      </w:r>
      <w:r w:rsidR="0015772D">
        <w:t xml:space="preserve">не точно определенных </w:t>
      </w:r>
      <w:r w:rsidR="00A174D8">
        <w:t xml:space="preserve">аспектов, затрудняющих классификацию товаров. </w:t>
      </w:r>
      <w:r w:rsidR="00877716">
        <w:t>Это приводит к сложностям в классификации и возможности нарушения законодательства недобросовестными декларантами, что, в свою очередь, является причиной дополнительной нагрузки на таможенные органы и судебные инстанции.</w:t>
      </w:r>
    </w:p>
    <w:p w14:paraId="0775F370" w14:textId="77777777" w:rsidR="008E0279" w:rsidRDefault="008E0279" w:rsidP="008E0279">
      <w:pPr>
        <w:spacing w:line="240" w:lineRule="auto"/>
        <w:ind w:firstLine="709"/>
        <w:jc w:val="both"/>
        <w:rPr>
          <w:b/>
          <w:bCs/>
        </w:rPr>
      </w:pPr>
    </w:p>
    <w:p w14:paraId="5626EC81" w14:textId="04BF0A7B" w:rsidR="005974F2" w:rsidRDefault="008E0279" w:rsidP="002F4DF9">
      <w:pPr>
        <w:spacing w:line="240" w:lineRule="auto"/>
        <w:ind w:firstLine="284"/>
        <w:jc w:val="both"/>
        <w:rPr>
          <w:b/>
          <w:bCs/>
        </w:rPr>
      </w:pPr>
      <w:bookmarkStart w:id="2" w:name="_Hlk55231287"/>
      <w:r>
        <w:rPr>
          <w:b/>
          <w:bCs/>
        </w:rPr>
        <w:t>Список литературы</w:t>
      </w:r>
    </w:p>
    <w:p w14:paraId="3001B879" w14:textId="77777777" w:rsidR="008E0279" w:rsidRPr="005974F2" w:rsidRDefault="008E0279" w:rsidP="008E0279">
      <w:pPr>
        <w:spacing w:line="240" w:lineRule="auto"/>
        <w:jc w:val="both"/>
        <w:rPr>
          <w:b/>
          <w:bCs/>
        </w:rPr>
      </w:pPr>
    </w:p>
    <w:p w14:paraId="25B887A9" w14:textId="116D575A" w:rsidR="004E7ACD" w:rsidRPr="008E0279" w:rsidRDefault="004E7ACD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r w:rsidRPr="008E0279">
        <w:rPr>
          <w:szCs w:val="28"/>
        </w:rPr>
        <w:t>Решение Совета Евразийской экономической комиссии от 16.07.2012 N 54 (ред. от 20.10.2020)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 (с изм. и доп., вступ. в силу с 01.12.2020) \\ СПС «КонсультантПлюс»</w:t>
      </w:r>
    </w:p>
    <w:p w14:paraId="4D1B8FC6" w14:textId="61AF861A" w:rsidR="009231B5" w:rsidRPr="008E0279" w:rsidRDefault="009231B5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r w:rsidRPr="008E0279">
        <w:rPr>
          <w:szCs w:val="28"/>
        </w:rPr>
        <w:t>ТР ЕАЭС 045/2017 Технический регламент Евразийского экономического союза "О безопасности нефти, подготовленной к транспортировке и (или) использованию" \\ СПС «КонсультантПлюс»</w:t>
      </w:r>
    </w:p>
    <w:bookmarkEnd w:id="2"/>
    <w:p w14:paraId="0596D004" w14:textId="090CDA33" w:rsidR="001504E0" w:rsidRPr="008E0279" w:rsidRDefault="001504E0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r w:rsidRPr="008E0279">
        <w:rPr>
          <w:szCs w:val="28"/>
        </w:rPr>
        <w:t xml:space="preserve">ГОСТ Р </w:t>
      </w:r>
      <w:proofErr w:type="gramStart"/>
      <w:r w:rsidRPr="008E0279">
        <w:rPr>
          <w:szCs w:val="28"/>
        </w:rPr>
        <w:t>51858-2002</w:t>
      </w:r>
      <w:proofErr w:type="gramEnd"/>
      <w:r w:rsidRPr="008E0279">
        <w:rPr>
          <w:szCs w:val="28"/>
        </w:rPr>
        <w:t xml:space="preserve"> Нефть. Общие технические условия (с Изменениями N 1, 2) \\ СПС «КонсультантПлюс»</w:t>
      </w:r>
    </w:p>
    <w:p w14:paraId="1FC38514" w14:textId="2D6B39D8" w:rsidR="002B76CB" w:rsidRPr="008E0279" w:rsidRDefault="002B76CB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r w:rsidRPr="008E0279">
        <w:rPr>
          <w:szCs w:val="28"/>
        </w:rPr>
        <w:t xml:space="preserve">ГОСТ </w:t>
      </w:r>
      <w:proofErr w:type="gramStart"/>
      <w:r w:rsidRPr="008E0279">
        <w:rPr>
          <w:szCs w:val="28"/>
        </w:rPr>
        <w:t>28576-90</w:t>
      </w:r>
      <w:proofErr w:type="gramEnd"/>
      <w:r w:rsidRPr="008E0279">
        <w:rPr>
          <w:szCs w:val="28"/>
        </w:rPr>
        <w:t xml:space="preserve"> (ИСО 8681-86) Нефтепродукты и смазочные материалы. Общая классификация. Обозначение классов. \\ СПС «КонсультантПлюс»</w:t>
      </w:r>
    </w:p>
    <w:p w14:paraId="276C5658" w14:textId="47490EFA" w:rsidR="002B76CB" w:rsidRPr="008E0279" w:rsidRDefault="002B76CB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r w:rsidRPr="008E0279">
        <w:rPr>
          <w:szCs w:val="28"/>
        </w:rPr>
        <w:lastRenderedPageBreak/>
        <w:t xml:space="preserve">ГОСТ </w:t>
      </w:r>
      <w:proofErr w:type="gramStart"/>
      <w:r w:rsidRPr="008E0279">
        <w:rPr>
          <w:szCs w:val="28"/>
        </w:rPr>
        <w:t>26098-84</w:t>
      </w:r>
      <w:proofErr w:type="gramEnd"/>
      <w:r w:rsidRPr="008E0279">
        <w:rPr>
          <w:szCs w:val="28"/>
        </w:rPr>
        <w:t xml:space="preserve"> «Нефтепродукты. Термины и определения» \\ СПС «КонсультантПлюс»</w:t>
      </w:r>
    </w:p>
    <w:p w14:paraId="1A60AD21" w14:textId="16E09EE6" w:rsidR="00B1593C" w:rsidRPr="008E0279" w:rsidRDefault="00B1593C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r w:rsidRPr="008E0279">
        <w:rPr>
          <w:szCs w:val="28"/>
        </w:rPr>
        <w:t xml:space="preserve">Письмо ФТС России от 04.03.2013 N </w:t>
      </w:r>
      <w:proofErr w:type="gramStart"/>
      <w:r w:rsidRPr="008E0279">
        <w:rPr>
          <w:szCs w:val="28"/>
        </w:rPr>
        <w:t>01-11</w:t>
      </w:r>
      <w:proofErr w:type="gramEnd"/>
      <w:r w:rsidRPr="008E0279">
        <w:rPr>
          <w:szCs w:val="28"/>
        </w:rPr>
        <w:t>/08792 "О декларировании товаров 27 группы ТН ВЭД ТС" \\ СПС «КонсультантПлюс»</w:t>
      </w:r>
    </w:p>
    <w:p w14:paraId="13D3DA45" w14:textId="0D652E7E" w:rsidR="00F414AD" w:rsidRPr="008E0279" w:rsidRDefault="005974F2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r w:rsidRPr="008E0279">
        <w:rPr>
          <w:szCs w:val="28"/>
        </w:rPr>
        <w:t xml:space="preserve">"Пояснения к единой Товарной номенклатуре внешнеэкономической деятельности Евразийского экономического союза (ТН ВЭД ЕАЭС)" (ред. от 29.09.2020) (Том VI. Разделы </w:t>
      </w:r>
      <w:proofErr w:type="gramStart"/>
      <w:r w:rsidRPr="008E0279">
        <w:rPr>
          <w:szCs w:val="28"/>
        </w:rPr>
        <w:t>I - XXI</w:t>
      </w:r>
      <w:proofErr w:type="gramEnd"/>
      <w:r w:rsidRPr="008E0279">
        <w:rPr>
          <w:szCs w:val="28"/>
        </w:rPr>
        <w:t xml:space="preserve">. Группы </w:t>
      </w:r>
      <w:proofErr w:type="gramStart"/>
      <w:r w:rsidRPr="008E0279">
        <w:rPr>
          <w:szCs w:val="28"/>
        </w:rPr>
        <w:t>01 - 97</w:t>
      </w:r>
      <w:proofErr w:type="gramEnd"/>
      <w:r w:rsidRPr="008E0279">
        <w:rPr>
          <w:szCs w:val="28"/>
        </w:rPr>
        <w:t xml:space="preserve">) </w:t>
      </w:r>
      <w:r w:rsidR="00A52E27" w:rsidRPr="008E0279">
        <w:rPr>
          <w:szCs w:val="28"/>
        </w:rPr>
        <w:t>//</w:t>
      </w:r>
      <w:r w:rsidRPr="008E0279">
        <w:rPr>
          <w:szCs w:val="28"/>
        </w:rPr>
        <w:t xml:space="preserve"> СПС «КонсультантПлюс»</w:t>
      </w:r>
    </w:p>
    <w:p w14:paraId="1E91457C" w14:textId="4F4F1FC6" w:rsidR="003B5AAB" w:rsidRPr="008E0279" w:rsidRDefault="00A25661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proofErr w:type="spellStart"/>
      <w:r w:rsidRPr="008E0279">
        <w:rPr>
          <w:szCs w:val="28"/>
        </w:rPr>
        <w:t>Багрикова</w:t>
      </w:r>
      <w:proofErr w:type="spellEnd"/>
      <w:r w:rsidRPr="008E0279">
        <w:rPr>
          <w:szCs w:val="28"/>
        </w:rPr>
        <w:t xml:space="preserve"> </w:t>
      </w:r>
      <w:r w:rsidR="00904188" w:rsidRPr="008E0279">
        <w:rPr>
          <w:szCs w:val="28"/>
        </w:rPr>
        <w:t>С.В.</w:t>
      </w:r>
      <w:r w:rsidRPr="008E0279">
        <w:rPr>
          <w:szCs w:val="28"/>
        </w:rPr>
        <w:t xml:space="preserve"> Актуальность идентификационных экспертиз при классификации товаров 27 группы ТН ВЭД ЕАЭС // Ученые записки Санкт-Петербургского имени В.Б. Бобкова филиала Российской таможенной академии</w:t>
      </w:r>
      <w:r w:rsidR="00904188" w:rsidRPr="008E0279">
        <w:rPr>
          <w:szCs w:val="28"/>
        </w:rPr>
        <w:t xml:space="preserve">, </w:t>
      </w:r>
      <w:r w:rsidRPr="008E0279">
        <w:rPr>
          <w:szCs w:val="28"/>
        </w:rPr>
        <w:t xml:space="preserve">2016. №3 (59). </w:t>
      </w:r>
      <w:r w:rsidR="00904188" w:rsidRPr="008E0279">
        <w:rPr>
          <w:szCs w:val="28"/>
        </w:rPr>
        <w:t xml:space="preserve">С. </w:t>
      </w:r>
      <w:proofErr w:type="gramStart"/>
      <w:r w:rsidR="00904188" w:rsidRPr="008E0279">
        <w:rPr>
          <w:szCs w:val="28"/>
        </w:rPr>
        <w:t>17-22</w:t>
      </w:r>
      <w:proofErr w:type="gramEnd"/>
      <w:r w:rsidR="00904188" w:rsidRPr="008E0279">
        <w:rPr>
          <w:szCs w:val="28"/>
        </w:rPr>
        <w:t xml:space="preserve">. </w:t>
      </w:r>
    </w:p>
    <w:p w14:paraId="371D98D1" w14:textId="497FA24F" w:rsidR="00F414AD" w:rsidRPr="008E0279" w:rsidRDefault="009F2ADA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r w:rsidRPr="008E0279">
        <w:rPr>
          <w:szCs w:val="28"/>
        </w:rPr>
        <w:t xml:space="preserve">Краснов О. С. Новая классификация запасов и ресурсов нефти и горючих газов: методика и практика переоценки категорий запасов месторождений нераспределенного фонда недр // </w:t>
      </w:r>
      <w:proofErr w:type="spellStart"/>
      <w:r w:rsidRPr="008E0279">
        <w:rPr>
          <w:szCs w:val="28"/>
        </w:rPr>
        <w:t>Интерэкспо</w:t>
      </w:r>
      <w:proofErr w:type="spellEnd"/>
      <w:r w:rsidRPr="008E0279">
        <w:rPr>
          <w:szCs w:val="28"/>
        </w:rPr>
        <w:t xml:space="preserve"> Гео-Сибирь. 2008. №2. С. </w:t>
      </w:r>
      <w:proofErr w:type="gramStart"/>
      <w:r w:rsidRPr="008E0279">
        <w:rPr>
          <w:szCs w:val="28"/>
        </w:rPr>
        <w:t>31-35</w:t>
      </w:r>
      <w:proofErr w:type="gramEnd"/>
      <w:r w:rsidRPr="008E0279">
        <w:rPr>
          <w:szCs w:val="28"/>
        </w:rPr>
        <w:t xml:space="preserve">. </w:t>
      </w:r>
    </w:p>
    <w:p w14:paraId="2741B601" w14:textId="5A75D9FE" w:rsidR="00F414AD" w:rsidRPr="008E0279" w:rsidRDefault="00F414AD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bookmarkStart w:id="3" w:name="_Hlk57661699"/>
      <w:r w:rsidRPr="008E0279">
        <w:rPr>
          <w:szCs w:val="28"/>
        </w:rPr>
        <w:t>Решение Арбитражного суда города Санкт-Петербурга и Ленинградской области от 24 марта 20</w:t>
      </w:r>
      <w:r w:rsidR="00FD747B" w:rsidRPr="008E0279">
        <w:rPr>
          <w:szCs w:val="28"/>
        </w:rPr>
        <w:t xml:space="preserve"> </w:t>
      </w:r>
      <w:r w:rsidRPr="008E0279">
        <w:rPr>
          <w:szCs w:val="28"/>
        </w:rPr>
        <w:t>20 года Дело N А56-75774/2019</w:t>
      </w:r>
      <w:r w:rsidR="00FB774B" w:rsidRPr="008E0279">
        <w:rPr>
          <w:szCs w:val="28"/>
        </w:rPr>
        <w:t xml:space="preserve"> </w:t>
      </w:r>
      <w:bookmarkStart w:id="4" w:name="_Hlk57666374"/>
      <w:r w:rsidR="00FB774B" w:rsidRPr="008E0279">
        <w:rPr>
          <w:szCs w:val="28"/>
        </w:rPr>
        <w:t xml:space="preserve">// Судебные и </w:t>
      </w:r>
      <w:r w:rsidR="00F112CA" w:rsidRPr="008E0279">
        <w:rPr>
          <w:szCs w:val="28"/>
        </w:rPr>
        <w:t>нормативные</w:t>
      </w:r>
      <w:r w:rsidR="00FB774B" w:rsidRPr="008E0279">
        <w:rPr>
          <w:szCs w:val="28"/>
        </w:rPr>
        <w:t xml:space="preserve"> </w:t>
      </w:r>
      <w:r w:rsidR="00F112CA" w:rsidRPr="008E0279">
        <w:rPr>
          <w:szCs w:val="28"/>
        </w:rPr>
        <w:t>акты РФ.URL</w:t>
      </w:r>
      <w:r w:rsidR="00F112CA" w:rsidRPr="002F4DF9">
        <w:rPr>
          <w:szCs w:val="28"/>
        </w:rPr>
        <w:t xml:space="preserve">:  </w:t>
      </w:r>
      <w:bookmarkEnd w:id="4"/>
      <w:r w:rsidR="00F112CA" w:rsidRPr="002F4DF9">
        <w:rPr>
          <w:szCs w:val="28"/>
        </w:rPr>
        <w:fldChar w:fldCharType="begin"/>
      </w:r>
      <w:r w:rsidR="00F112CA" w:rsidRPr="002F4DF9">
        <w:rPr>
          <w:szCs w:val="28"/>
        </w:rPr>
        <w:instrText xml:space="preserve"> HYPERLINK "https://sudact.ru/arbitral/doc/P58qbxlY9zWn/" </w:instrText>
      </w:r>
      <w:r w:rsidR="00F112CA" w:rsidRPr="002F4DF9">
        <w:rPr>
          <w:szCs w:val="28"/>
        </w:rPr>
        <w:fldChar w:fldCharType="separate"/>
      </w:r>
      <w:r w:rsidR="00F112CA" w:rsidRPr="002F4DF9">
        <w:rPr>
          <w:rStyle w:val="a7"/>
          <w:color w:val="auto"/>
          <w:szCs w:val="28"/>
          <w:u w:val="none"/>
        </w:rPr>
        <w:t>https://sudact.ru/arbitral/doc/P58qbxlY9zWn/</w:t>
      </w:r>
      <w:r w:rsidR="00F112CA" w:rsidRPr="002F4DF9">
        <w:rPr>
          <w:szCs w:val="28"/>
        </w:rPr>
        <w:fldChar w:fldCharType="end"/>
      </w:r>
      <w:r w:rsidR="00F112CA" w:rsidRPr="008E0279">
        <w:rPr>
          <w:szCs w:val="28"/>
        </w:rPr>
        <w:t xml:space="preserve"> (дата обращения: 30.11.20)</w:t>
      </w:r>
    </w:p>
    <w:p w14:paraId="45C4359F" w14:textId="0434016A" w:rsidR="0085476F" w:rsidRPr="002F4DF9" w:rsidRDefault="0085476F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bookmarkStart w:id="5" w:name="_Hlk57578028"/>
      <w:bookmarkEnd w:id="3"/>
      <w:r w:rsidRPr="008E0279">
        <w:rPr>
          <w:szCs w:val="28"/>
        </w:rPr>
        <w:t xml:space="preserve">Пояснения к группе ТН ВЭД 27 </w:t>
      </w:r>
      <w:r w:rsidR="002E0BFC" w:rsidRPr="008E0279">
        <w:rPr>
          <w:szCs w:val="28"/>
        </w:rPr>
        <w:t>//</w:t>
      </w:r>
      <w:r w:rsidRPr="008E0279">
        <w:rPr>
          <w:szCs w:val="28"/>
        </w:rPr>
        <w:t xml:space="preserve"> Официальный сайт Альта-Софт</w:t>
      </w:r>
      <w:r w:rsidR="00A25661" w:rsidRPr="008E0279">
        <w:rPr>
          <w:szCs w:val="28"/>
        </w:rPr>
        <w:t xml:space="preserve">. </w:t>
      </w:r>
      <w:r w:rsidR="00A25661" w:rsidRPr="008E0279">
        <w:rPr>
          <w:szCs w:val="28"/>
          <w:lang w:val="en-US"/>
        </w:rPr>
        <w:t>URL</w:t>
      </w:r>
      <w:r w:rsidR="00A25661" w:rsidRPr="008E0279">
        <w:rPr>
          <w:szCs w:val="28"/>
        </w:rPr>
        <w:t xml:space="preserve">: </w:t>
      </w:r>
      <w:hyperlink r:id="rId8" w:history="1">
        <w:r w:rsidR="00A25661" w:rsidRPr="002F4DF9">
          <w:rPr>
            <w:rStyle w:val="a7"/>
            <w:color w:val="auto"/>
            <w:szCs w:val="28"/>
            <w:u w:val="none"/>
            <w:lang w:val="en-US"/>
          </w:rPr>
          <w:t>https</w:t>
        </w:r>
        <w:r w:rsidR="00A25661" w:rsidRPr="002F4DF9">
          <w:rPr>
            <w:rStyle w:val="a7"/>
            <w:color w:val="auto"/>
            <w:szCs w:val="28"/>
            <w:u w:val="none"/>
          </w:rPr>
          <w:t>://</w:t>
        </w:r>
        <w:r w:rsidR="00A25661" w:rsidRPr="002F4DF9">
          <w:rPr>
            <w:rStyle w:val="a7"/>
            <w:color w:val="auto"/>
            <w:szCs w:val="28"/>
            <w:u w:val="none"/>
            <w:lang w:val="en-US"/>
          </w:rPr>
          <w:t>www</w:t>
        </w:r>
        <w:r w:rsidR="00A25661" w:rsidRPr="002F4DF9">
          <w:rPr>
            <w:rStyle w:val="a7"/>
            <w:color w:val="auto"/>
            <w:szCs w:val="28"/>
            <w:u w:val="none"/>
          </w:rPr>
          <w:t>.</w:t>
        </w:r>
        <w:proofErr w:type="spellStart"/>
        <w:r w:rsidR="00A25661" w:rsidRPr="002F4DF9">
          <w:rPr>
            <w:rStyle w:val="a7"/>
            <w:color w:val="auto"/>
            <w:szCs w:val="28"/>
            <w:u w:val="none"/>
            <w:lang w:val="en-US"/>
          </w:rPr>
          <w:t>alta</w:t>
        </w:r>
        <w:proofErr w:type="spellEnd"/>
        <w:r w:rsidR="00A25661" w:rsidRPr="002F4DF9">
          <w:rPr>
            <w:rStyle w:val="a7"/>
            <w:color w:val="auto"/>
            <w:szCs w:val="28"/>
            <w:u w:val="none"/>
          </w:rPr>
          <w:t>.</w:t>
        </w:r>
        <w:proofErr w:type="spellStart"/>
        <w:r w:rsidR="00A25661" w:rsidRPr="002F4DF9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  <w:r w:rsidR="00A25661" w:rsidRPr="002F4DF9">
          <w:rPr>
            <w:rStyle w:val="a7"/>
            <w:color w:val="auto"/>
            <w:szCs w:val="28"/>
            <w:u w:val="none"/>
          </w:rPr>
          <w:t>/</w:t>
        </w:r>
        <w:proofErr w:type="spellStart"/>
        <w:r w:rsidR="00A25661" w:rsidRPr="002F4DF9">
          <w:rPr>
            <w:rStyle w:val="a7"/>
            <w:color w:val="auto"/>
            <w:szCs w:val="28"/>
            <w:u w:val="none"/>
            <w:lang w:val="en-US"/>
          </w:rPr>
          <w:t>poyasnenia</w:t>
        </w:r>
        <w:proofErr w:type="spellEnd"/>
        <w:r w:rsidR="00A25661" w:rsidRPr="002F4DF9">
          <w:rPr>
            <w:rStyle w:val="a7"/>
            <w:color w:val="auto"/>
            <w:szCs w:val="28"/>
            <w:u w:val="none"/>
          </w:rPr>
          <w:t>/</w:t>
        </w:r>
        <w:r w:rsidR="00A25661" w:rsidRPr="002F4DF9">
          <w:rPr>
            <w:rStyle w:val="a7"/>
            <w:color w:val="auto"/>
            <w:szCs w:val="28"/>
            <w:u w:val="none"/>
            <w:lang w:val="en-US"/>
          </w:rPr>
          <w:t>G</w:t>
        </w:r>
        <w:r w:rsidR="00A25661" w:rsidRPr="002F4DF9">
          <w:rPr>
            <w:rStyle w:val="a7"/>
            <w:color w:val="auto"/>
            <w:szCs w:val="28"/>
            <w:u w:val="none"/>
          </w:rPr>
          <w:t>27/</w:t>
        </w:r>
      </w:hyperlink>
      <w:r w:rsidR="00A25661" w:rsidRPr="002F4DF9">
        <w:rPr>
          <w:szCs w:val="28"/>
        </w:rPr>
        <w:t xml:space="preserve"> (дата обращения: 29.11.20)</w:t>
      </w:r>
    </w:p>
    <w:p w14:paraId="795285DA" w14:textId="72B36004" w:rsidR="005F549B" w:rsidRDefault="002E0BFC" w:rsidP="002F4DF9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szCs w:val="28"/>
        </w:rPr>
      </w:pPr>
      <w:bookmarkStart w:id="6" w:name="_Hlk56804010"/>
      <w:bookmarkEnd w:id="5"/>
      <w:r w:rsidRPr="002F4DF9">
        <w:rPr>
          <w:szCs w:val="28"/>
        </w:rPr>
        <w:t xml:space="preserve">О сортах нефти  // Информационное издание «Российская газета». </w:t>
      </w:r>
      <w:r w:rsidRPr="002F4DF9">
        <w:rPr>
          <w:szCs w:val="28"/>
          <w:lang w:val="en-US"/>
        </w:rPr>
        <w:t>URL</w:t>
      </w:r>
      <w:r w:rsidRPr="002F4DF9">
        <w:rPr>
          <w:szCs w:val="28"/>
        </w:rPr>
        <w:t xml:space="preserve">: </w:t>
      </w:r>
      <w:hyperlink r:id="rId9" w:history="1">
        <w:r w:rsidRPr="002F4DF9">
          <w:rPr>
            <w:rStyle w:val="a7"/>
            <w:color w:val="auto"/>
            <w:szCs w:val="28"/>
            <w:u w:val="none"/>
            <w:lang w:val="en-US"/>
          </w:rPr>
          <w:t>https</w:t>
        </w:r>
        <w:r w:rsidRPr="002F4DF9">
          <w:rPr>
            <w:rStyle w:val="a7"/>
            <w:color w:val="auto"/>
            <w:szCs w:val="28"/>
            <w:u w:val="none"/>
          </w:rPr>
          <w:t>://</w:t>
        </w:r>
        <w:proofErr w:type="spellStart"/>
        <w:r w:rsidRPr="002F4DF9">
          <w:rPr>
            <w:rStyle w:val="a7"/>
            <w:color w:val="auto"/>
            <w:szCs w:val="28"/>
            <w:u w:val="none"/>
            <w:lang w:val="en-US"/>
          </w:rPr>
          <w:t>rg</w:t>
        </w:r>
        <w:proofErr w:type="spellEnd"/>
        <w:r w:rsidRPr="002F4DF9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2F4DF9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  <w:r w:rsidRPr="002F4DF9">
          <w:rPr>
            <w:rStyle w:val="a7"/>
            <w:color w:val="auto"/>
            <w:szCs w:val="28"/>
            <w:u w:val="none"/>
          </w:rPr>
          <w:t>/2019/07/22/</w:t>
        </w:r>
        <w:proofErr w:type="spellStart"/>
        <w:r w:rsidRPr="002F4DF9">
          <w:rPr>
            <w:rStyle w:val="a7"/>
            <w:color w:val="auto"/>
            <w:szCs w:val="28"/>
            <w:u w:val="none"/>
            <w:lang w:val="en-US"/>
          </w:rPr>
          <w:t>sorta</w:t>
        </w:r>
        <w:proofErr w:type="spellEnd"/>
        <w:r w:rsidRPr="002F4DF9">
          <w:rPr>
            <w:rStyle w:val="a7"/>
            <w:color w:val="auto"/>
            <w:szCs w:val="28"/>
            <w:u w:val="none"/>
          </w:rPr>
          <w:t>-</w:t>
        </w:r>
        <w:proofErr w:type="spellStart"/>
        <w:r w:rsidRPr="002F4DF9">
          <w:rPr>
            <w:rStyle w:val="a7"/>
            <w:color w:val="auto"/>
            <w:szCs w:val="28"/>
            <w:u w:val="none"/>
            <w:lang w:val="en-US"/>
          </w:rPr>
          <w:t>nefti</w:t>
        </w:r>
        <w:proofErr w:type="spellEnd"/>
        <w:r w:rsidRPr="002F4DF9">
          <w:rPr>
            <w:rStyle w:val="a7"/>
            <w:color w:val="auto"/>
            <w:szCs w:val="28"/>
            <w:u w:val="none"/>
          </w:rPr>
          <w:t>-</w:t>
        </w:r>
        <w:proofErr w:type="spellStart"/>
        <w:r w:rsidRPr="002F4DF9">
          <w:rPr>
            <w:rStyle w:val="a7"/>
            <w:color w:val="auto"/>
            <w:szCs w:val="28"/>
            <w:u w:val="none"/>
            <w:lang w:val="en-US"/>
          </w:rPr>
          <w:t>sformirovany</w:t>
        </w:r>
        <w:proofErr w:type="spellEnd"/>
        <w:r w:rsidRPr="002F4DF9">
          <w:rPr>
            <w:rStyle w:val="a7"/>
            <w:color w:val="auto"/>
            <w:szCs w:val="28"/>
            <w:u w:val="none"/>
          </w:rPr>
          <w:t>-</w:t>
        </w:r>
        <w:r w:rsidRPr="002F4DF9">
          <w:rPr>
            <w:rStyle w:val="a7"/>
            <w:color w:val="auto"/>
            <w:szCs w:val="28"/>
            <w:u w:val="none"/>
            <w:lang w:val="en-US"/>
          </w:rPr>
          <w:t>so</w:t>
        </w:r>
        <w:r w:rsidRPr="002F4DF9">
          <w:rPr>
            <w:rStyle w:val="a7"/>
            <w:color w:val="auto"/>
            <w:szCs w:val="28"/>
            <w:u w:val="none"/>
          </w:rPr>
          <w:t>-</w:t>
        </w:r>
        <w:proofErr w:type="spellStart"/>
        <w:r w:rsidRPr="002F4DF9">
          <w:rPr>
            <w:rStyle w:val="a7"/>
            <w:color w:val="auto"/>
            <w:szCs w:val="28"/>
            <w:u w:val="none"/>
            <w:lang w:val="en-US"/>
          </w:rPr>
          <w:t>vseh</w:t>
        </w:r>
        <w:proofErr w:type="spellEnd"/>
        <w:r w:rsidRPr="002F4DF9">
          <w:rPr>
            <w:rStyle w:val="a7"/>
            <w:color w:val="auto"/>
            <w:szCs w:val="28"/>
            <w:u w:val="none"/>
          </w:rPr>
          <w:t>-</w:t>
        </w:r>
        <w:proofErr w:type="spellStart"/>
        <w:r w:rsidRPr="002F4DF9">
          <w:rPr>
            <w:rStyle w:val="a7"/>
            <w:color w:val="auto"/>
            <w:szCs w:val="28"/>
            <w:u w:val="none"/>
            <w:lang w:val="en-US"/>
          </w:rPr>
          <w:t>mestorozhdenij</w:t>
        </w:r>
        <w:proofErr w:type="spellEnd"/>
        <w:r w:rsidRPr="002F4DF9">
          <w:rPr>
            <w:rStyle w:val="a7"/>
            <w:color w:val="auto"/>
            <w:szCs w:val="28"/>
            <w:u w:val="none"/>
          </w:rPr>
          <w:t>-</w:t>
        </w:r>
        <w:proofErr w:type="spellStart"/>
        <w:r w:rsidRPr="002F4DF9">
          <w:rPr>
            <w:rStyle w:val="a7"/>
            <w:color w:val="auto"/>
            <w:szCs w:val="28"/>
            <w:u w:val="none"/>
            <w:lang w:val="en-US"/>
          </w:rPr>
          <w:t>rossii</w:t>
        </w:r>
        <w:proofErr w:type="spellEnd"/>
        <w:r w:rsidRPr="002F4DF9">
          <w:rPr>
            <w:rStyle w:val="a7"/>
            <w:color w:val="auto"/>
            <w:szCs w:val="28"/>
            <w:u w:val="none"/>
          </w:rPr>
          <w:t>.</w:t>
        </w:r>
        <w:r w:rsidRPr="002F4DF9">
          <w:rPr>
            <w:rStyle w:val="a7"/>
            <w:color w:val="auto"/>
            <w:szCs w:val="28"/>
            <w:u w:val="none"/>
            <w:lang w:val="en-US"/>
          </w:rPr>
          <w:t>html</w:t>
        </w:r>
      </w:hyperlink>
      <w:r w:rsidRPr="002F4DF9">
        <w:rPr>
          <w:szCs w:val="28"/>
        </w:rPr>
        <w:t xml:space="preserve"> (дата обращения 20.11.20)</w:t>
      </w:r>
      <w:bookmarkEnd w:id="6"/>
    </w:p>
    <w:p w14:paraId="66775E28" w14:textId="6856CFA4" w:rsidR="002F4DF9" w:rsidRDefault="002F4DF9" w:rsidP="002F4DF9">
      <w:pPr>
        <w:spacing w:line="240" w:lineRule="auto"/>
        <w:jc w:val="both"/>
        <w:rPr>
          <w:szCs w:val="28"/>
        </w:rPr>
      </w:pPr>
    </w:p>
    <w:p w14:paraId="6568BA1E" w14:textId="64CC27FC" w:rsidR="002F4DF9" w:rsidRDefault="002F4DF9" w:rsidP="002F4DF9">
      <w:pPr>
        <w:spacing w:line="240" w:lineRule="auto"/>
        <w:jc w:val="both"/>
        <w:rPr>
          <w:i/>
          <w:iCs/>
          <w:szCs w:val="28"/>
        </w:rPr>
      </w:pPr>
      <w:r w:rsidRPr="002F4DF9">
        <w:rPr>
          <w:i/>
          <w:iCs/>
          <w:szCs w:val="28"/>
        </w:rPr>
        <w:t>Об авторе</w:t>
      </w:r>
    </w:p>
    <w:p w14:paraId="0726E8D5" w14:textId="7156A05B" w:rsidR="002F4DF9" w:rsidRPr="00A15600" w:rsidRDefault="002F4DF9" w:rsidP="002F4DF9">
      <w:pPr>
        <w:spacing w:line="240" w:lineRule="auto"/>
        <w:jc w:val="both"/>
        <w:rPr>
          <w:szCs w:val="28"/>
          <w:lang w:val="en-US"/>
        </w:rPr>
      </w:pPr>
      <w:r w:rsidRPr="00C17C15">
        <w:rPr>
          <w:b/>
          <w:bCs/>
          <w:szCs w:val="28"/>
        </w:rPr>
        <w:t>ЛУЖНЕВА Елизавета Владимировна</w:t>
      </w:r>
      <w:r>
        <w:rPr>
          <w:szCs w:val="28"/>
        </w:rPr>
        <w:t xml:space="preserve"> — студентка второго курса юридического факультета специальности «Таможенное дело» </w:t>
      </w:r>
      <w:r w:rsidRPr="002F4DF9">
        <w:rPr>
          <w:szCs w:val="28"/>
        </w:rPr>
        <w:t>ФГБОУ ВО «Тверской государственный университет» (170100, г. Тверь, ул. Желябова</w:t>
      </w:r>
      <w:r w:rsidRPr="00A15600">
        <w:rPr>
          <w:szCs w:val="28"/>
          <w:lang w:val="en-US"/>
        </w:rPr>
        <w:t xml:space="preserve">, 33), e-mail: </w:t>
      </w:r>
      <w:r w:rsidR="005F2DC7">
        <w:fldChar w:fldCharType="begin"/>
      </w:r>
      <w:r w:rsidR="005F2DC7" w:rsidRPr="00A15600">
        <w:rPr>
          <w:lang w:val="en-US"/>
        </w:rPr>
        <w:instrText xml:space="preserve"> HYPERLINK "mailto:evluzhneva@edu.tversu.ru" </w:instrText>
      </w:r>
      <w:r w:rsidR="005F2DC7">
        <w:fldChar w:fldCharType="separate"/>
      </w:r>
      <w:r w:rsidRPr="000578E7">
        <w:rPr>
          <w:rStyle w:val="a7"/>
          <w:szCs w:val="28"/>
          <w:lang w:val="en-US"/>
        </w:rPr>
        <w:t>evluzhneva@edu.tversu.ru</w:t>
      </w:r>
      <w:r w:rsidR="005F2DC7">
        <w:rPr>
          <w:rStyle w:val="a7"/>
          <w:szCs w:val="28"/>
          <w:lang w:val="en-US"/>
        </w:rPr>
        <w:fldChar w:fldCharType="end"/>
      </w:r>
      <w:r>
        <w:rPr>
          <w:szCs w:val="28"/>
          <w:lang w:val="en-US"/>
        </w:rPr>
        <w:t xml:space="preserve"> </w:t>
      </w:r>
      <w:r>
        <w:rPr>
          <w:szCs w:val="28"/>
        </w:rPr>
        <w:t>т</w:t>
      </w:r>
      <w:r w:rsidRPr="00A15600">
        <w:rPr>
          <w:szCs w:val="28"/>
          <w:lang w:val="en-US"/>
        </w:rPr>
        <w:t>. 8-920-186-04-60</w:t>
      </w:r>
    </w:p>
    <w:p w14:paraId="7ECD39A3" w14:textId="41F22C58" w:rsidR="002F4DF9" w:rsidRPr="00A15600" w:rsidRDefault="002F4DF9" w:rsidP="002F4DF9">
      <w:pPr>
        <w:spacing w:line="240" w:lineRule="auto"/>
        <w:rPr>
          <w:szCs w:val="28"/>
          <w:lang w:val="en-US"/>
        </w:rPr>
      </w:pPr>
    </w:p>
    <w:p w14:paraId="029C024A" w14:textId="34670D00" w:rsidR="002F4DF9" w:rsidRPr="00C17C15" w:rsidRDefault="002F4DF9" w:rsidP="002F4DF9">
      <w:pPr>
        <w:spacing w:line="240" w:lineRule="auto"/>
        <w:jc w:val="center"/>
        <w:rPr>
          <w:b/>
          <w:bCs/>
          <w:szCs w:val="28"/>
          <w:lang w:val="en-US"/>
        </w:rPr>
      </w:pPr>
      <w:r w:rsidRPr="00C17C15">
        <w:rPr>
          <w:b/>
          <w:bCs/>
          <w:szCs w:val="28"/>
          <w:lang w:val="en-US"/>
        </w:rPr>
        <w:t xml:space="preserve">FEATURES AND TECHNOLOGY OF CLASSIFICATION OF MINERAL FUELS, </w:t>
      </w:r>
      <w:r w:rsidR="00C17C15">
        <w:rPr>
          <w:b/>
          <w:bCs/>
          <w:szCs w:val="28"/>
          <w:lang w:val="en-US"/>
        </w:rPr>
        <w:t>OIL</w:t>
      </w:r>
      <w:r w:rsidRPr="00C17C15">
        <w:rPr>
          <w:b/>
          <w:bCs/>
          <w:szCs w:val="28"/>
          <w:lang w:val="en-US"/>
        </w:rPr>
        <w:t xml:space="preserve"> AND PRODUCTS OF THEIR DISTILLATION</w:t>
      </w:r>
    </w:p>
    <w:p w14:paraId="1D8D8678" w14:textId="706A7F0E" w:rsidR="002F4DF9" w:rsidRDefault="002F4DF9" w:rsidP="00C17C15">
      <w:pPr>
        <w:spacing w:line="240" w:lineRule="auto"/>
        <w:jc w:val="center"/>
        <w:rPr>
          <w:szCs w:val="28"/>
          <w:lang w:val="en-US"/>
        </w:rPr>
      </w:pPr>
    </w:p>
    <w:p w14:paraId="409935EB" w14:textId="7893280D" w:rsidR="00C17C15" w:rsidRPr="00C17C15" w:rsidRDefault="00C17C15" w:rsidP="00C17C15">
      <w:pPr>
        <w:spacing w:line="240" w:lineRule="auto"/>
        <w:jc w:val="center"/>
        <w:rPr>
          <w:b/>
          <w:bCs/>
          <w:szCs w:val="28"/>
          <w:lang w:val="en-US"/>
        </w:rPr>
      </w:pPr>
      <w:r w:rsidRPr="00C17C15">
        <w:rPr>
          <w:b/>
          <w:bCs/>
          <w:szCs w:val="28"/>
          <w:lang w:val="en-US"/>
        </w:rPr>
        <w:t xml:space="preserve">E.V. </w:t>
      </w:r>
      <w:proofErr w:type="spellStart"/>
      <w:r w:rsidRPr="00C17C15">
        <w:rPr>
          <w:b/>
          <w:bCs/>
          <w:szCs w:val="28"/>
          <w:lang w:val="en-US"/>
        </w:rPr>
        <w:t>Luzhneva</w:t>
      </w:r>
      <w:proofErr w:type="spellEnd"/>
    </w:p>
    <w:p w14:paraId="407483B1" w14:textId="723CC2EE" w:rsidR="00C17C15" w:rsidRDefault="00C17C15" w:rsidP="00C17C15">
      <w:pPr>
        <w:spacing w:line="240" w:lineRule="auto"/>
        <w:jc w:val="center"/>
        <w:rPr>
          <w:szCs w:val="28"/>
          <w:lang w:val="en-US"/>
        </w:rPr>
      </w:pPr>
      <w:proofErr w:type="spellStart"/>
      <w:r w:rsidRPr="00C17C15">
        <w:rPr>
          <w:szCs w:val="28"/>
          <w:lang w:val="en-US"/>
        </w:rPr>
        <w:t>Tver</w:t>
      </w:r>
      <w:proofErr w:type="spellEnd"/>
      <w:r w:rsidRPr="00C17C15">
        <w:rPr>
          <w:szCs w:val="28"/>
          <w:lang w:val="en-US"/>
        </w:rPr>
        <w:t xml:space="preserve"> state University</w:t>
      </w:r>
    </w:p>
    <w:p w14:paraId="200F2112" w14:textId="77777777" w:rsidR="00C17C15" w:rsidRDefault="00C17C15" w:rsidP="00C17C15">
      <w:pPr>
        <w:spacing w:line="240" w:lineRule="auto"/>
        <w:jc w:val="center"/>
        <w:rPr>
          <w:szCs w:val="28"/>
          <w:lang w:val="en-US"/>
        </w:rPr>
      </w:pPr>
    </w:p>
    <w:p w14:paraId="45B655E3" w14:textId="34F0550E" w:rsidR="00C17C15" w:rsidRPr="00C17C15" w:rsidRDefault="00C17C15" w:rsidP="006F0B41">
      <w:pPr>
        <w:spacing w:line="240" w:lineRule="auto"/>
        <w:ind w:left="284"/>
        <w:jc w:val="both"/>
        <w:rPr>
          <w:sz w:val="24"/>
          <w:szCs w:val="24"/>
          <w:lang w:val="en-US"/>
        </w:rPr>
      </w:pPr>
      <w:r w:rsidRPr="00C17C15">
        <w:rPr>
          <w:sz w:val="24"/>
          <w:szCs w:val="24"/>
          <w:lang w:val="en-US"/>
        </w:rPr>
        <w:t xml:space="preserve">The article deals with the aspects of the classification of goods of the 27th group of the </w:t>
      </w:r>
      <w:r w:rsidR="006F0B41" w:rsidRPr="006F0B41">
        <w:rPr>
          <w:sz w:val="24"/>
          <w:szCs w:val="24"/>
          <w:lang w:val="en-US"/>
        </w:rPr>
        <w:t>HS code of EAEU</w:t>
      </w:r>
      <w:r w:rsidRPr="00C17C15">
        <w:rPr>
          <w:sz w:val="24"/>
          <w:szCs w:val="24"/>
          <w:lang w:val="en-US"/>
        </w:rPr>
        <w:t>, since it is this raw material that is a special component that brings funds to the Russian economy. The purpose of the work is to develop an algorithm for the classification of goods of the 27 group of HS</w:t>
      </w:r>
      <w:r w:rsidR="006F0B41">
        <w:rPr>
          <w:sz w:val="24"/>
          <w:szCs w:val="24"/>
          <w:lang w:val="en-US"/>
        </w:rPr>
        <w:t xml:space="preserve"> code</w:t>
      </w:r>
      <w:r w:rsidRPr="00C17C15">
        <w:rPr>
          <w:sz w:val="24"/>
          <w:szCs w:val="24"/>
          <w:lang w:val="en-US"/>
        </w:rPr>
        <w:t xml:space="preserve">, as well as to study the features and technologies of classification. The goal is </w:t>
      </w:r>
      <w:r w:rsidRPr="00C17C15">
        <w:rPr>
          <w:sz w:val="24"/>
          <w:szCs w:val="24"/>
          <w:lang w:val="en-US"/>
        </w:rPr>
        <w:lastRenderedPageBreak/>
        <w:t>achieved by analyzing the data of the Federal Customs Service of Russia and regulatory legal acts, which allows to develop such an algorithm.</w:t>
      </w:r>
    </w:p>
    <w:p w14:paraId="5523DACF" w14:textId="0D94E12E" w:rsidR="00C17C15" w:rsidRDefault="00C17C15" w:rsidP="006F0B41">
      <w:pPr>
        <w:spacing w:line="240" w:lineRule="auto"/>
        <w:ind w:left="284"/>
        <w:jc w:val="both"/>
        <w:rPr>
          <w:i/>
          <w:iCs/>
          <w:sz w:val="24"/>
          <w:szCs w:val="24"/>
          <w:lang w:val="en-US"/>
        </w:rPr>
      </w:pPr>
      <w:r w:rsidRPr="00C17C15">
        <w:rPr>
          <w:i/>
          <w:iCs/>
          <w:sz w:val="24"/>
          <w:szCs w:val="24"/>
          <w:lang w:val="en-US"/>
        </w:rPr>
        <w:t>Keywords: Foreign trade, HS, classification, oil, declaration, customs control, raw materials, economy, taxation.</w:t>
      </w:r>
    </w:p>
    <w:p w14:paraId="316285A7" w14:textId="77777777" w:rsidR="00C17C15" w:rsidRPr="006F0B41" w:rsidRDefault="00C17C15" w:rsidP="00C17C15">
      <w:pPr>
        <w:spacing w:line="240" w:lineRule="auto"/>
        <w:jc w:val="both"/>
        <w:rPr>
          <w:i/>
          <w:iCs/>
          <w:szCs w:val="28"/>
          <w:lang w:val="en-US"/>
        </w:rPr>
      </w:pPr>
      <w:r w:rsidRPr="006F0B41">
        <w:rPr>
          <w:i/>
          <w:iCs/>
          <w:szCs w:val="28"/>
          <w:lang w:val="en-US"/>
        </w:rPr>
        <w:t>About the author</w:t>
      </w:r>
    </w:p>
    <w:p w14:paraId="238F4B86" w14:textId="542A34E9" w:rsidR="00C17C15" w:rsidRPr="00C17C15" w:rsidRDefault="00C17C15" w:rsidP="00C17C15">
      <w:pPr>
        <w:spacing w:line="240" w:lineRule="auto"/>
        <w:jc w:val="both"/>
        <w:rPr>
          <w:szCs w:val="28"/>
          <w:lang w:val="en-US"/>
        </w:rPr>
      </w:pPr>
      <w:r w:rsidRPr="00C17C15">
        <w:rPr>
          <w:b/>
          <w:bCs/>
          <w:szCs w:val="28"/>
          <w:lang w:val="en-US"/>
        </w:rPr>
        <w:t>LUZHNEVA Elizaveta</w:t>
      </w:r>
      <w:r w:rsidRPr="00C17C15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— </w:t>
      </w:r>
      <w:r w:rsidRPr="00C17C15">
        <w:rPr>
          <w:szCs w:val="28"/>
          <w:lang w:val="en-US"/>
        </w:rPr>
        <w:t xml:space="preserve">second-year student of the Faculty of Law, specialty "Customs", </w:t>
      </w:r>
      <w:proofErr w:type="spellStart"/>
      <w:r w:rsidRPr="00C17C15">
        <w:rPr>
          <w:szCs w:val="28"/>
          <w:lang w:val="en-US"/>
        </w:rPr>
        <w:t>Tver</w:t>
      </w:r>
      <w:proofErr w:type="spellEnd"/>
      <w:r w:rsidRPr="00C17C15">
        <w:rPr>
          <w:szCs w:val="28"/>
          <w:lang w:val="en-US"/>
        </w:rPr>
        <w:t xml:space="preserve"> State University (33 </w:t>
      </w:r>
      <w:proofErr w:type="spellStart"/>
      <w:r w:rsidRPr="00C17C15">
        <w:rPr>
          <w:szCs w:val="28"/>
          <w:lang w:val="en-US"/>
        </w:rPr>
        <w:t>Zhelyabova</w:t>
      </w:r>
      <w:proofErr w:type="spellEnd"/>
      <w:r w:rsidRPr="00C17C15">
        <w:rPr>
          <w:szCs w:val="28"/>
          <w:lang w:val="en-US"/>
        </w:rPr>
        <w:t xml:space="preserve"> str., </w:t>
      </w:r>
      <w:proofErr w:type="spellStart"/>
      <w:r w:rsidRPr="00C17C15">
        <w:rPr>
          <w:szCs w:val="28"/>
          <w:lang w:val="en-US"/>
        </w:rPr>
        <w:t>Tver</w:t>
      </w:r>
      <w:proofErr w:type="spellEnd"/>
      <w:r w:rsidRPr="00C17C15">
        <w:rPr>
          <w:szCs w:val="28"/>
          <w:lang w:val="en-US"/>
        </w:rPr>
        <w:t xml:space="preserve">, 170100), e-mail: evluzhneva@edu.tversu.ru </w:t>
      </w:r>
      <w:r>
        <w:rPr>
          <w:szCs w:val="28"/>
          <w:lang w:val="en-US"/>
        </w:rPr>
        <w:t>Tel</w:t>
      </w:r>
      <w:r w:rsidRPr="00C17C15">
        <w:rPr>
          <w:szCs w:val="28"/>
          <w:lang w:val="en-US"/>
        </w:rPr>
        <w:t>. 8-920-186-04-60</w:t>
      </w:r>
    </w:p>
    <w:sectPr w:rsidR="00C17C15" w:rsidRPr="00C17C15" w:rsidSect="00A15600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4DE0" w14:textId="77777777" w:rsidR="005F2DC7" w:rsidRDefault="005F2DC7" w:rsidP="009231B5">
      <w:pPr>
        <w:spacing w:after="0" w:line="240" w:lineRule="auto"/>
      </w:pPr>
      <w:r>
        <w:separator/>
      </w:r>
    </w:p>
  </w:endnote>
  <w:endnote w:type="continuationSeparator" w:id="0">
    <w:p w14:paraId="4BAD6E0E" w14:textId="77777777" w:rsidR="005F2DC7" w:rsidRDefault="005F2DC7" w:rsidP="0092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1AA9" w14:textId="77777777" w:rsidR="005F2DC7" w:rsidRDefault="005F2DC7" w:rsidP="009231B5">
      <w:pPr>
        <w:spacing w:after="0" w:line="240" w:lineRule="auto"/>
      </w:pPr>
      <w:r>
        <w:separator/>
      </w:r>
    </w:p>
  </w:footnote>
  <w:footnote w:type="continuationSeparator" w:id="0">
    <w:p w14:paraId="732245D9" w14:textId="77777777" w:rsidR="005F2DC7" w:rsidRDefault="005F2DC7" w:rsidP="0092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960"/>
    <w:multiLevelType w:val="hybridMultilevel"/>
    <w:tmpl w:val="23C4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902"/>
    <w:multiLevelType w:val="hybridMultilevel"/>
    <w:tmpl w:val="9D00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46B"/>
    <w:multiLevelType w:val="hybridMultilevel"/>
    <w:tmpl w:val="DFA6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0C56"/>
    <w:multiLevelType w:val="hybridMultilevel"/>
    <w:tmpl w:val="4A08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62A"/>
    <w:multiLevelType w:val="hybridMultilevel"/>
    <w:tmpl w:val="47C6EFD6"/>
    <w:lvl w:ilvl="0" w:tplc="3C003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A0FA1"/>
    <w:multiLevelType w:val="hybridMultilevel"/>
    <w:tmpl w:val="73CC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10DB9"/>
    <w:multiLevelType w:val="hybridMultilevel"/>
    <w:tmpl w:val="5244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1"/>
    <w:multiLevelType w:val="hybridMultilevel"/>
    <w:tmpl w:val="F3AEF128"/>
    <w:lvl w:ilvl="0" w:tplc="F97EF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B2DE9"/>
    <w:multiLevelType w:val="hybridMultilevel"/>
    <w:tmpl w:val="A412B72A"/>
    <w:lvl w:ilvl="0" w:tplc="8F22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376D37"/>
    <w:multiLevelType w:val="multilevel"/>
    <w:tmpl w:val="4FE0B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3B4137"/>
    <w:multiLevelType w:val="hybridMultilevel"/>
    <w:tmpl w:val="5E009374"/>
    <w:lvl w:ilvl="0" w:tplc="8F22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757E5"/>
    <w:multiLevelType w:val="hybridMultilevel"/>
    <w:tmpl w:val="275C634C"/>
    <w:lvl w:ilvl="0" w:tplc="ACE44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556691"/>
    <w:multiLevelType w:val="hybridMultilevel"/>
    <w:tmpl w:val="23F8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377D3"/>
    <w:multiLevelType w:val="hybridMultilevel"/>
    <w:tmpl w:val="43EC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82E19"/>
    <w:multiLevelType w:val="hybridMultilevel"/>
    <w:tmpl w:val="74E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B1"/>
    <w:rsid w:val="000209FC"/>
    <w:rsid w:val="00061D8C"/>
    <w:rsid w:val="000941AD"/>
    <w:rsid w:val="000F657C"/>
    <w:rsid w:val="00117B25"/>
    <w:rsid w:val="00140EF6"/>
    <w:rsid w:val="001504E0"/>
    <w:rsid w:val="0015772D"/>
    <w:rsid w:val="00162BAD"/>
    <w:rsid w:val="001824DD"/>
    <w:rsid w:val="0019508F"/>
    <w:rsid w:val="001D47B1"/>
    <w:rsid w:val="001F0763"/>
    <w:rsid w:val="00207A94"/>
    <w:rsid w:val="00261041"/>
    <w:rsid w:val="0028366E"/>
    <w:rsid w:val="00284A48"/>
    <w:rsid w:val="002B76CB"/>
    <w:rsid w:val="002D42B4"/>
    <w:rsid w:val="002E0BFC"/>
    <w:rsid w:val="002E2B87"/>
    <w:rsid w:val="002F4DF9"/>
    <w:rsid w:val="00334D3F"/>
    <w:rsid w:val="003600CE"/>
    <w:rsid w:val="00373F9C"/>
    <w:rsid w:val="003A2440"/>
    <w:rsid w:val="003B0EDB"/>
    <w:rsid w:val="003B5AAB"/>
    <w:rsid w:val="004074C6"/>
    <w:rsid w:val="00460EB0"/>
    <w:rsid w:val="00476780"/>
    <w:rsid w:val="004816AD"/>
    <w:rsid w:val="00490361"/>
    <w:rsid w:val="004E784D"/>
    <w:rsid w:val="004E7ACD"/>
    <w:rsid w:val="0050112B"/>
    <w:rsid w:val="00504544"/>
    <w:rsid w:val="0054120B"/>
    <w:rsid w:val="0057512D"/>
    <w:rsid w:val="00595A8C"/>
    <w:rsid w:val="005974F2"/>
    <w:rsid w:val="00597EFE"/>
    <w:rsid w:val="005F1054"/>
    <w:rsid w:val="005F2DC7"/>
    <w:rsid w:val="005F549B"/>
    <w:rsid w:val="006643EE"/>
    <w:rsid w:val="00697EB6"/>
    <w:rsid w:val="006C3B4E"/>
    <w:rsid w:val="006E707C"/>
    <w:rsid w:val="006F0B41"/>
    <w:rsid w:val="00707067"/>
    <w:rsid w:val="00731320"/>
    <w:rsid w:val="007333C4"/>
    <w:rsid w:val="00737578"/>
    <w:rsid w:val="00796917"/>
    <w:rsid w:val="007A6AF1"/>
    <w:rsid w:val="007C481E"/>
    <w:rsid w:val="007D782E"/>
    <w:rsid w:val="007F12A5"/>
    <w:rsid w:val="0080242A"/>
    <w:rsid w:val="008025B5"/>
    <w:rsid w:val="008316D8"/>
    <w:rsid w:val="0085451E"/>
    <w:rsid w:val="0085476F"/>
    <w:rsid w:val="00877716"/>
    <w:rsid w:val="00881112"/>
    <w:rsid w:val="008B550B"/>
    <w:rsid w:val="008B76B8"/>
    <w:rsid w:val="008E0279"/>
    <w:rsid w:val="00904188"/>
    <w:rsid w:val="009100F3"/>
    <w:rsid w:val="009231B5"/>
    <w:rsid w:val="0092330C"/>
    <w:rsid w:val="009242B2"/>
    <w:rsid w:val="009D08B1"/>
    <w:rsid w:val="009E3FB3"/>
    <w:rsid w:val="009F2ADA"/>
    <w:rsid w:val="009F7335"/>
    <w:rsid w:val="00A1312A"/>
    <w:rsid w:val="00A15600"/>
    <w:rsid w:val="00A174D8"/>
    <w:rsid w:val="00A25661"/>
    <w:rsid w:val="00A52E27"/>
    <w:rsid w:val="00AA54EB"/>
    <w:rsid w:val="00AB7CC0"/>
    <w:rsid w:val="00AC30F0"/>
    <w:rsid w:val="00AC51BE"/>
    <w:rsid w:val="00AD391C"/>
    <w:rsid w:val="00AE136F"/>
    <w:rsid w:val="00AF01C0"/>
    <w:rsid w:val="00B06E93"/>
    <w:rsid w:val="00B143AF"/>
    <w:rsid w:val="00B1593C"/>
    <w:rsid w:val="00B17BB6"/>
    <w:rsid w:val="00B2166C"/>
    <w:rsid w:val="00B828E6"/>
    <w:rsid w:val="00BA0065"/>
    <w:rsid w:val="00BA39AB"/>
    <w:rsid w:val="00C072FE"/>
    <w:rsid w:val="00C17C15"/>
    <w:rsid w:val="00C46E07"/>
    <w:rsid w:val="00C84137"/>
    <w:rsid w:val="00C91FFA"/>
    <w:rsid w:val="00C933B2"/>
    <w:rsid w:val="00CB0CCA"/>
    <w:rsid w:val="00CC3451"/>
    <w:rsid w:val="00CE5DD7"/>
    <w:rsid w:val="00D073DE"/>
    <w:rsid w:val="00D57705"/>
    <w:rsid w:val="00D82CE6"/>
    <w:rsid w:val="00DA2326"/>
    <w:rsid w:val="00DC17A2"/>
    <w:rsid w:val="00E11414"/>
    <w:rsid w:val="00E712C3"/>
    <w:rsid w:val="00E72191"/>
    <w:rsid w:val="00E8741B"/>
    <w:rsid w:val="00E9267D"/>
    <w:rsid w:val="00EE16A3"/>
    <w:rsid w:val="00EF0C4C"/>
    <w:rsid w:val="00F112CA"/>
    <w:rsid w:val="00F15AA2"/>
    <w:rsid w:val="00F26BC5"/>
    <w:rsid w:val="00F414AD"/>
    <w:rsid w:val="00F419E2"/>
    <w:rsid w:val="00FA6990"/>
    <w:rsid w:val="00FA7B8C"/>
    <w:rsid w:val="00FB4CB0"/>
    <w:rsid w:val="00FB774B"/>
    <w:rsid w:val="00FD747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BAE6"/>
  <w15:chartTrackingRefBased/>
  <w15:docId w15:val="{6A35006D-29CC-4B69-9EF7-31E9375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40"/>
  </w:style>
  <w:style w:type="paragraph" w:styleId="1">
    <w:name w:val="heading 1"/>
    <w:basedOn w:val="a"/>
    <w:next w:val="a"/>
    <w:link w:val="10"/>
    <w:uiPriority w:val="9"/>
    <w:qFormat/>
    <w:rsid w:val="00854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31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31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31B5"/>
    <w:rPr>
      <w:vertAlign w:val="superscript"/>
    </w:rPr>
  </w:style>
  <w:style w:type="character" w:styleId="a7">
    <w:name w:val="Hyperlink"/>
    <w:basedOn w:val="a0"/>
    <w:uiPriority w:val="99"/>
    <w:unhideWhenUsed/>
    <w:rsid w:val="002E0BF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0BF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E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F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01C0"/>
  </w:style>
  <w:style w:type="paragraph" w:styleId="ac">
    <w:name w:val="footer"/>
    <w:basedOn w:val="a"/>
    <w:link w:val="ad"/>
    <w:uiPriority w:val="99"/>
    <w:unhideWhenUsed/>
    <w:rsid w:val="00AF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1C0"/>
  </w:style>
  <w:style w:type="character" w:styleId="ae">
    <w:name w:val="Placeholder Text"/>
    <w:basedOn w:val="a0"/>
    <w:uiPriority w:val="99"/>
    <w:semiHidden/>
    <w:rsid w:val="00AF01C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54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85451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85451E"/>
    <w:pPr>
      <w:spacing w:after="100"/>
      <w:ind w:left="22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5451E"/>
    <w:pPr>
      <w:spacing w:after="10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5451E"/>
    <w:pPr>
      <w:spacing w:after="100"/>
      <w:ind w:left="440"/>
    </w:pPr>
    <w:rPr>
      <w:rFonts w:asciiTheme="minorHAnsi" w:eastAsiaTheme="minorEastAsia" w:hAnsiTheme="minorHAns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4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1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1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8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.ru/poyasnenia/G2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2019/07/22/sorta-nefti-sformirovany-so-vseh-mestorozhdenij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7291-815E-417F-B79F-26AD900F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Лужнева</dc:creator>
  <cp:keywords/>
  <dc:description/>
  <cp:lastModifiedBy>Лужнева Елизавета Владимировна</cp:lastModifiedBy>
  <cp:revision>8</cp:revision>
  <dcterms:created xsi:type="dcterms:W3CDTF">2021-04-05T14:50:00Z</dcterms:created>
  <dcterms:modified xsi:type="dcterms:W3CDTF">2021-04-25T15:45:00Z</dcterms:modified>
</cp:coreProperties>
</file>